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57B0F" w:rsidRDefault="00000000">
      <w:pPr>
        <w:pStyle w:val="Heading3"/>
        <w:rPr>
          <w:sz w:val="32"/>
          <w:szCs w:val="32"/>
        </w:rPr>
      </w:pPr>
      <w:bookmarkStart w:id="0" w:name="_ymzq4w8tpdxm" w:colFirst="0" w:colLast="0"/>
      <w:bookmarkEnd w:id="0"/>
      <w:r>
        <w:rPr>
          <w:sz w:val="32"/>
          <w:szCs w:val="32"/>
        </w:rPr>
        <w:t>Critical Evaluation of Cloud Security Risk in the Software &amp; Cloud Services Industry: A Literature Review</w:t>
      </w:r>
    </w:p>
    <w:p w14:paraId="00000002" w14:textId="77777777" w:rsidR="00E57B0F" w:rsidRDefault="00E57B0F"/>
    <w:p w14:paraId="00000003" w14:textId="77777777" w:rsidR="00E57B0F" w:rsidRDefault="00000000">
      <w:pPr>
        <w:spacing w:line="480" w:lineRule="auto"/>
        <w:rPr>
          <w:sz w:val="28"/>
          <w:szCs w:val="28"/>
        </w:rPr>
      </w:pPr>
      <w:r>
        <w:rPr>
          <w:b/>
          <w:bCs/>
          <w:sz w:val="28"/>
          <w:szCs w:val="28"/>
        </w:rPr>
        <w:t>Module:</w:t>
      </w:r>
      <w:r>
        <w:rPr>
          <w:sz w:val="28"/>
          <w:szCs w:val="28"/>
        </w:rPr>
        <w:t xml:space="preserve"> Research Methods and Professional Practice (RMPP_PCOM7E)</w:t>
      </w:r>
    </w:p>
    <w:p w14:paraId="00000004" w14:textId="77777777" w:rsidR="00E57B0F" w:rsidRDefault="00000000">
      <w:pPr>
        <w:spacing w:line="480" w:lineRule="auto"/>
        <w:rPr>
          <w:sz w:val="28"/>
          <w:szCs w:val="28"/>
        </w:rPr>
      </w:pPr>
      <w:r>
        <w:rPr>
          <w:b/>
          <w:bCs/>
          <w:sz w:val="28"/>
          <w:szCs w:val="28"/>
        </w:rPr>
        <w:t>Student:</w:t>
      </w:r>
      <w:r>
        <w:rPr>
          <w:sz w:val="28"/>
          <w:szCs w:val="28"/>
        </w:rPr>
        <w:t xml:space="preserve"> Fabian Narel</w:t>
      </w:r>
    </w:p>
    <w:p w14:paraId="00000005" w14:textId="77777777" w:rsidR="00E57B0F" w:rsidRDefault="00000000">
      <w:pPr>
        <w:spacing w:line="480" w:lineRule="auto"/>
        <w:rPr>
          <w:sz w:val="28"/>
          <w:szCs w:val="28"/>
        </w:rPr>
      </w:pPr>
      <w:r>
        <w:rPr>
          <w:b/>
          <w:bCs/>
          <w:sz w:val="28"/>
          <w:szCs w:val="28"/>
        </w:rPr>
        <w:t xml:space="preserve">Student ID: </w:t>
      </w:r>
      <w:r>
        <w:rPr>
          <w:sz w:val="28"/>
          <w:szCs w:val="28"/>
        </w:rPr>
        <w:t>12697137</w:t>
      </w:r>
    </w:p>
    <w:p w14:paraId="00000006" w14:textId="77777777" w:rsidR="00E57B0F" w:rsidRDefault="00E57B0F">
      <w:pPr>
        <w:rPr>
          <w:sz w:val="28"/>
          <w:szCs w:val="28"/>
        </w:rPr>
      </w:pPr>
    </w:p>
    <w:p w14:paraId="00000007" w14:textId="77777777" w:rsidR="00E57B0F" w:rsidRDefault="00E57B0F">
      <w:pPr>
        <w:rPr>
          <w:sz w:val="28"/>
          <w:szCs w:val="28"/>
        </w:rPr>
      </w:pPr>
    </w:p>
    <w:p w14:paraId="00000008" w14:textId="77777777" w:rsidR="00E57B0F" w:rsidRDefault="00E57B0F">
      <w:pPr>
        <w:rPr>
          <w:sz w:val="28"/>
          <w:szCs w:val="28"/>
        </w:rPr>
      </w:pPr>
    </w:p>
    <w:p w14:paraId="00000009" w14:textId="77777777" w:rsidR="00E57B0F" w:rsidRDefault="00E57B0F"/>
    <w:p w14:paraId="0000000A" w14:textId="77777777" w:rsidR="00E57B0F" w:rsidRDefault="00E57B0F"/>
    <w:p w14:paraId="0000000B" w14:textId="77777777" w:rsidR="00E57B0F" w:rsidRDefault="00E57B0F"/>
    <w:p w14:paraId="0000000C" w14:textId="77777777" w:rsidR="00E57B0F" w:rsidRDefault="00E57B0F"/>
    <w:p w14:paraId="0000000D" w14:textId="77777777" w:rsidR="00E57B0F" w:rsidRDefault="00E57B0F"/>
    <w:p w14:paraId="0000000E" w14:textId="77777777" w:rsidR="00E57B0F" w:rsidRDefault="00E57B0F"/>
    <w:p w14:paraId="0000000F" w14:textId="77777777" w:rsidR="00E57B0F" w:rsidRDefault="00E57B0F"/>
    <w:p w14:paraId="00000010" w14:textId="77777777" w:rsidR="00E57B0F" w:rsidRDefault="00E57B0F"/>
    <w:p w14:paraId="00000011" w14:textId="77777777" w:rsidR="00E57B0F" w:rsidRDefault="00E57B0F"/>
    <w:p w14:paraId="00000012" w14:textId="77777777" w:rsidR="00E57B0F" w:rsidRDefault="00E57B0F"/>
    <w:p w14:paraId="00000013" w14:textId="77777777" w:rsidR="00E57B0F" w:rsidRDefault="00E57B0F"/>
    <w:p w14:paraId="00000014" w14:textId="77777777" w:rsidR="00E57B0F" w:rsidRDefault="00E57B0F"/>
    <w:p w14:paraId="00000015" w14:textId="77777777" w:rsidR="00E57B0F" w:rsidRDefault="00E57B0F"/>
    <w:p w14:paraId="00000016" w14:textId="77777777" w:rsidR="00E57B0F" w:rsidRDefault="00E57B0F"/>
    <w:p w14:paraId="00000017" w14:textId="77777777" w:rsidR="00E57B0F" w:rsidRDefault="00E57B0F"/>
    <w:p w14:paraId="00000018" w14:textId="77777777" w:rsidR="00E57B0F" w:rsidRDefault="00E57B0F"/>
    <w:p w14:paraId="00000019" w14:textId="77777777" w:rsidR="00E57B0F" w:rsidRDefault="00E57B0F"/>
    <w:p w14:paraId="0000001A" w14:textId="77777777" w:rsidR="00E57B0F" w:rsidRDefault="00E57B0F"/>
    <w:p w14:paraId="0000001B" w14:textId="77777777" w:rsidR="00E57B0F" w:rsidRDefault="00E57B0F"/>
    <w:p w14:paraId="0000001C" w14:textId="77777777" w:rsidR="00E57B0F" w:rsidRDefault="00E57B0F"/>
    <w:p w14:paraId="6326F279" w14:textId="77777777" w:rsidR="00B33B7C" w:rsidRDefault="00B33B7C"/>
    <w:p w14:paraId="37682F39" w14:textId="77777777" w:rsidR="00B33B7C" w:rsidRDefault="00B33B7C"/>
    <w:p w14:paraId="179E914E" w14:textId="77777777" w:rsidR="00B33B7C" w:rsidRDefault="00B33B7C"/>
    <w:p w14:paraId="0000001D" w14:textId="77777777" w:rsidR="00E57B0F" w:rsidRDefault="00E57B0F"/>
    <w:p w14:paraId="0000001E" w14:textId="77777777" w:rsidR="00E57B0F" w:rsidRDefault="00E57B0F"/>
    <w:p w14:paraId="0000001F" w14:textId="77777777" w:rsidR="00E57B0F" w:rsidRDefault="00E57B0F"/>
    <w:p w14:paraId="00000020" w14:textId="77777777" w:rsidR="00E57B0F" w:rsidRDefault="00E57B0F"/>
    <w:p w14:paraId="00000021" w14:textId="77777777" w:rsidR="00E57B0F" w:rsidRDefault="00E57B0F"/>
    <w:p w14:paraId="00000022" w14:textId="77777777" w:rsidR="00E57B0F" w:rsidRDefault="00E57B0F"/>
    <w:p w14:paraId="00000023" w14:textId="77777777" w:rsidR="00E57B0F" w:rsidRDefault="00000000">
      <w:pPr>
        <w:pStyle w:val="Heading3"/>
        <w:spacing w:before="280" w:after="80"/>
      </w:pPr>
      <w:bookmarkStart w:id="1" w:name="_fohn33vg2ydb" w:colFirst="0" w:colLast="0"/>
      <w:bookmarkEnd w:id="1"/>
      <w:r>
        <w:lastRenderedPageBreak/>
        <w:t>1. Introduction</w:t>
      </w:r>
    </w:p>
    <w:p w14:paraId="00000024" w14:textId="77777777" w:rsidR="00E57B0F" w:rsidRDefault="00000000">
      <w:pPr>
        <w:spacing w:line="480" w:lineRule="auto"/>
        <w:rPr>
          <w:sz w:val="24"/>
          <w:szCs w:val="24"/>
        </w:rPr>
      </w:pPr>
      <w:r>
        <w:rPr>
          <w:sz w:val="24"/>
          <w:szCs w:val="24"/>
        </w:rPr>
        <w:t>Cloud computing dominates the software industry economy, with spending forecast to reach $723.4 billion in 2025 (Gartner, 2024) and double by 2028 due to AI infrastructure (IDC, 2024). This transition creates a "diffuse" attack surface where traditional defenses are often ineffective (SentinelOne, 2025). Data indicates cloud intrusions increased by 75% year-over-year (CrowdStrike, 2024), and despite cloud-native adoption, 57% of organizations reported an API-related data breach within the last two years (Traceable AI, 2025). This review critically evaluates existing research, positing that cloud security is a socio-technical challenge involving distributed responsibility and ethical governance.</w:t>
      </w:r>
    </w:p>
    <w:p w14:paraId="00000025" w14:textId="77777777" w:rsidR="00E57B0F" w:rsidRDefault="00000000">
      <w:pPr>
        <w:pStyle w:val="Heading4"/>
        <w:spacing w:line="480" w:lineRule="auto"/>
      </w:pPr>
      <w:bookmarkStart w:id="2" w:name="_qtuyg4noiwwk" w:colFirst="0" w:colLast="0"/>
      <w:bookmarkEnd w:id="2"/>
      <w:r>
        <w:t>1.a. Rationale: Contrasting findings in the literature</w:t>
      </w:r>
    </w:p>
    <w:p w14:paraId="00000026" w14:textId="77777777" w:rsidR="00E57B0F" w:rsidRDefault="00000000">
      <w:pPr>
        <w:spacing w:line="480" w:lineRule="auto"/>
        <w:rPr>
          <w:sz w:val="24"/>
          <w:szCs w:val="24"/>
        </w:rPr>
      </w:pPr>
      <w:r>
        <w:rPr>
          <w:sz w:val="24"/>
          <w:szCs w:val="24"/>
        </w:rPr>
        <w:t xml:space="preserve">Research regarding cloud security often reveals a fundamental tension in the literature between development velocity and risk mitigation. While the Agile and DevOps literature emphasizes the need for rapid iteration and deployment speed to maintain market competitiveness (Mircea, 2019), traditional project management and security literature advocates for rigid compliance checkpoints that often slow this velocity (Nicholas &amp; Steyn, 2020). This creates contrasting findings in the industry: development teams often view security protocols as operational bottlenecks, leading to "Shadow APIs" and overlooked vulnerabilities (Akamai, 2025). Furthermore, while cloud providers define clear boundaries in the Shared Responsibility Model, academic analysis suggests that the implementation of these boundaries is inconsistent, with misconfiguration remaining a leading cause of breaches (CSA, 2025). </w:t>
      </w:r>
    </w:p>
    <w:p w14:paraId="00000027" w14:textId="77777777" w:rsidR="00E57B0F" w:rsidRDefault="00000000">
      <w:pPr>
        <w:pStyle w:val="Heading4"/>
        <w:spacing w:line="480" w:lineRule="auto"/>
      </w:pPr>
      <w:bookmarkStart w:id="3" w:name="_rs5ty8rxjeha" w:colFirst="0" w:colLast="0"/>
      <w:bookmarkEnd w:id="3"/>
      <w:r>
        <w:lastRenderedPageBreak/>
        <w:t>1.b. Aim: Towards an ethical and methodological understanding</w:t>
      </w:r>
    </w:p>
    <w:p w14:paraId="00000028" w14:textId="77777777" w:rsidR="00E57B0F" w:rsidRDefault="00000000">
      <w:pPr>
        <w:spacing w:line="480" w:lineRule="auto"/>
        <w:rPr>
          <w:sz w:val="24"/>
          <w:szCs w:val="24"/>
        </w:rPr>
      </w:pPr>
      <w:r>
        <w:rPr>
          <w:sz w:val="24"/>
          <w:szCs w:val="24"/>
        </w:rPr>
        <w:t>This review evaluates the methodologies and ethical frameworks managing cloud risk. Leveraging Menlo Report principles, it assesses how governance serves the ethical duty of beneficence (Finn &amp; Shilton, 2023). By critiquing the reliance on reactive case studies (Wohlin, 2021) versus predictive analysis, this review demonstrates that effective security requires a shift to proactive, identity-centric verification known as Zero Trust Architecture (CISA, 2025).</w:t>
      </w:r>
    </w:p>
    <w:p w14:paraId="00000029" w14:textId="77777777" w:rsidR="00E57B0F" w:rsidRDefault="00000000">
      <w:pPr>
        <w:pStyle w:val="Heading4"/>
        <w:spacing w:before="240" w:after="40" w:line="480" w:lineRule="auto"/>
      </w:pPr>
      <w:bookmarkStart w:id="4" w:name="_ph4um1bdkes5" w:colFirst="0" w:colLast="0"/>
      <w:bookmarkEnd w:id="4"/>
      <w:r>
        <w:rPr>
          <w:color w:val="1F1F1F"/>
        </w:rPr>
        <w:t>1.c. Selection of relevant sources</w:t>
      </w:r>
    </w:p>
    <w:p w14:paraId="0000002A" w14:textId="77777777" w:rsidR="00E57B0F" w:rsidRDefault="00000000">
      <w:pPr>
        <w:spacing w:line="480" w:lineRule="auto"/>
      </w:pPr>
      <w:r>
        <w:rPr>
          <w:sz w:val="24"/>
          <w:szCs w:val="24"/>
        </w:rPr>
        <w:t>To capture the evolving threat landscape, the search prioritized reports and papers published between 2023 and 2025 from databases like IEEE Xplore and the Cloud Security Alliance (CSA). Keywords included "Cloud Security Risk," "API Vulnerabilities," and "DevSecOps Culture." Inclusion criteria prioritized empirical data or systematic reviews over anecdotal opinion pieces (Hayes et al., 2015).</w:t>
      </w:r>
    </w:p>
    <w:p w14:paraId="0000002B" w14:textId="77777777" w:rsidR="00E57B0F" w:rsidRDefault="00000000">
      <w:pPr>
        <w:pStyle w:val="Heading3"/>
      </w:pPr>
      <w:bookmarkStart w:id="5" w:name="_e7lgm2seyb9i" w:colFirst="0" w:colLast="0"/>
      <w:bookmarkEnd w:id="5"/>
      <w:r>
        <w:t>2. The Context of Cloud Security and Ethical Governance</w:t>
      </w:r>
    </w:p>
    <w:p w14:paraId="0000002C" w14:textId="77777777" w:rsidR="00E57B0F" w:rsidRDefault="00000000">
      <w:pPr>
        <w:pStyle w:val="Heading4"/>
        <w:spacing w:before="240" w:after="240" w:line="480" w:lineRule="auto"/>
      </w:pPr>
      <w:bookmarkStart w:id="6" w:name="_lf443ncnwlyi" w:colFirst="0" w:colLast="0"/>
      <w:bookmarkEnd w:id="6"/>
      <w:r>
        <w:t>2.1. Ethical Frameworks: From Compliance to Beneficence</w:t>
      </w:r>
    </w:p>
    <w:p w14:paraId="0000002D" w14:textId="77777777" w:rsidR="00E57B0F" w:rsidRDefault="00000000">
      <w:pPr>
        <w:spacing w:before="240" w:after="240" w:line="480" w:lineRule="auto"/>
        <w:rPr>
          <w:color w:val="1F1F1F"/>
          <w:sz w:val="24"/>
          <w:szCs w:val="24"/>
        </w:rPr>
      </w:pPr>
      <w:r>
        <w:rPr>
          <w:color w:val="1F1F1F"/>
          <w:sz w:val="24"/>
          <w:szCs w:val="24"/>
        </w:rPr>
        <w:t>Security risk is increasingly viewed through an ethical lens rather than a purely technical one. Finn and Shilton (2023) argue that this technical focus is insufficient. Analyzing the Menlo Report, they contend that security practitioners must adopt a principle of "beneficence”, which minimizes harm to data subject rather than merely protecting corporate infrastructure. In the context of cloud services, this implies that a security breach is not just a system error, but a failure of ethical duty to the user.</w:t>
      </w:r>
    </w:p>
    <w:p w14:paraId="0000002E" w14:textId="77777777" w:rsidR="00E57B0F" w:rsidRDefault="00000000">
      <w:pPr>
        <w:spacing w:before="240" w:after="240" w:line="480" w:lineRule="auto"/>
        <w:rPr>
          <w:color w:val="1F1F1F"/>
          <w:sz w:val="24"/>
          <w:szCs w:val="24"/>
        </w:rPr>
      </w:pPr>
      <w:r>
        <w:rPr>
          <w:color w:val="1F1F1F"/>
          <w:sz w:val="24"/>
          <w:szCs w:val="24"/>
        </w:rPr>
        <w:lastRenderedPageBreak/>
        <w:t>However, a significant discrepancy exists between these ethical ideals and industrial reality. Kluge Corrêa et al. (2023) reviewed over 200 guidelines for AI and cloud governance, noting a global consensus on the need for transparency and accountability. Yet, their findings highlight a translation gap where abstract ethical principles fail to materialize into programmable security controls. This is corroborated by industry data showing that while 98% of organizations have ethical AI guidelines, fewer than 20% have automated technical controls to enforce them in their cloud environments (IBM, N.D.).</w:t>
      </w:r>
    </w:p>
    <w:p w14:paraId="0000002F" w14:textId="77777777" w:rsidR="00E57B0F" w:rsidRDefault="00000000">
      <w:pPr>
        <w:spacing w:before="240" w:after="240" w:line="480" w:lineRule="auto"/>
        <w:rPr>
          <w:b/>
          <w:bCs/>
          <w:color w:val="1F1F1F"/>
          <w:sz w:val="24"/>
          <w:szCs w:val="24"/>
        </w:rPr>
      </w:pPr>
      <w:r>
        <w:rPr>
          <w:b/>
          <w:bCs/>
          <w:color w:val="1F1F1F"/>
          <w:sz w:val="24"/>
          <w:szCs w:val="24"/>
        </w:rPr>
        <w:t>2.2. The Shared Responsibility Model</w:t>
      </w:r>
    </w:p>
    <w:p w14:paraId="00000030" w14:textId="77777777" w:rsidR="00E57B0F" w:rsidRDefault="00000000">
      <w:pPr>
        <w:spacing w:before="240" w:after="240" w:line="480" w:lineRule="auto"/>
        <w:rPr>
          <w:color w:val="1F1F1F"/>
          <w:sz w:val="24"/>
          <w:szCs w:val="24"/>
        </w:rPr>
      </w:pPr>
      <w:r>
        <w:rPr>
          <w:color w:val="1F1F1F"/>
          <w:sz w:val="24"/>
          <w:szCs w:val="24"/>
        </w:rPr>
        <w:t>The Shared Responsibility Model (SRM) is foundational to cloud security but remains a major source of operational risk. The model states that cloud providers (e.g., AWS, Azure) secure the cloud’s physical infrastructure, while customers secure data and access within the cloud (CSA, 2025). However, the literature shows that this binary distinction is frequently misunderstood, creating coverage gaps. CSA (2025) notes that customer responsibility varies significantly between service models, causing confusion: in Infrastructure as a Service (IaaS), customers handle nearly everything above the hypervisor, including OS hardening and network configuration, whereas in Software as a Service (SaaS), providers manage the application stack, leaving customers responsible mainly for identity and data governance. Check Point (2025) argues that this complexity drives misconfigurations, as vendors often apply SaaS assumptions to IaaS environments, leaving storage buckets and APIs exposed. This aligns with Dawson’s (2015) view that technical projects often fail due to unclear stakeholder definitions rather than coding flaws.</w:t>
      </w:r>
    </w:p>
    <w:p w14:paraId="00000031" w14:textId="77777777" w:rsidR="00E57B0F" w:rsidRDefault="00000000">
      <w:pPr>
        <w:spacing w:before="240" w:after="240" w:line="480" w:lineRule="auto"/>
        <w:rPr>
          <w:b/>
          <w:bCs/>
          <w:color w:val="1F1F1F"/>
          <w:sz w:val="24"/>
          <w:szCs w:val="24"/>
        </w:rPr>
      </w:pPr>
      <w:r>
        <w:rPr>
          <w:b/>
          <w:bCs/>
          <w:color w:val="1F1F1F"/>
          <w:sz w:val="24"/>
          <w:szCs w:val="24"/>
        </w:rPr>
        <w:lastRenderedPageBreak/>
        <w:t>2.3. Regulatory Tension: GDPR and Data Localization</w:t>
      </w:r>
    </w:p>
    <w:p w14:paraId="00000032" w14:textId="77777777" w:rsidR="00E57B0F" w:rsidRDefault="00000000">
      <w:pPr>
        <w:spacing w:before="240" w:after="240" w:line="480" w:lineRule="auto"/>
        <w:rPr>
          <w:color w:val="1F1F1F"/>
          <w:sz w:val="24"/>
          <w:szCs w:val="24"/>
        </w:rPr>
      </w:pPr>
      <w:r>
        <w:rPr>
          <w:color w:val="1F1F1F"/>
          <w:sz w:val="24"/>
          <w:szCs w:val="24"/>
        </w:rPr>
        <w:t>The introduction of the General Data Protection Regulation (GDPR) has forced a re-evaluation of cloud architecture. Gudepu and Jaladi (2021) identify a significant implementation gap where technology startups struggle to map complex legal requirements to technical controls. The literature argues that while hyperscale providers offer compliant infrastructure, the actual processing of data by software companies often fails to meet privacy standards.</w:t>
      </w:r>
    </w:p>
    <w:p w14:paraId="00000033" w14:textId="77777777" w:rsidR="00E57B0F" w:rsidRDefault="00000000">
      <w:pPr>
        <w:spacing w:before="240" w:after="240" w:line="480" w:lineRule="auto"/>
      </w:pPr>
      <w:r>
        <w:rPr>
          <w:color w:val="1F1F1F"/>
          <w:sz w:val="24"/>
          <w:szCs w:val="24"/>
        </w:rPr>
        <w:t>SentinelOne (2025) notes that modern cloud-native applications often fragment data across multiple geographic zones for performance, inadvertently violating data sovereignty mandates. Thus, cloud security is defined by the struggle to align rigid legal geography with fluid technical architecture.</w:t>
      </w:r>
    </w:p>
    <w:p w14:paraId="00000034" w14:textId="77777777" w:rsidR="00E57B0F" w:rsidRDefault="00000000">
      <w:pPr>
        <w:pStyle w:val="Heading3"/>
        <w:spacing w:before="280" w:after="80"/>
      </w:pPr>
      <w:bookmarkStart w:id="7" w:name="_np3bb9qhdf23" w:colFirst="0" w:colLast="0"/>
      <w:bookmarkEnd w:id="7"/>
      <w:r>
        <w:t>3. Technical Vulnerabilities and Emerging Threats</w:t>
      </w:r>
    </w:p>
    <w:p w14:paraId="00000035" w14:textId="77777777" w:rsidR="00E57B0F" w:rsidRDefault="00000000">
      <w:pPr>
        <w:pStyle w:val="Heading4"/>
        <w:spacing w:before="240" w:after="240" w:line="480" w:lineRule="auto"/>
        <w:rPr>
          <w:color w:val="1F1F1F"/>
        </w:rPr>
      </w:pPr>
      <w:bookmarkStart w:id="8" w:name="_tx3rtrpv6nwt" w:colFirst="0" w:colLast="0"/>
      <w:bookmarkEnd w:id="8"/>
      <w:r>
        <w:t xml:space="preserve">3.1 API Insecurity and the "Shadow" Ecosystem </w:t>
      </w:r>
    </w:p>
    <w:p w14:paraId="00000036" w14:textId="77777777" w:rsidR="00E57B0F" w:rsidRDefault="00000000">
      <w:pPr>
        <w:spacing w:before="240" w:after="240" w:line="480" w:lineRule="auto"/>
        <w:rPr>
          <w:color w:val="1F1F1F"/>
          <w:sz w:val="24"/>
          <w:szCs w:val="24"/>
        </w:rPr>
      </w:pPr>
      <w:r>
        <w:rPr>
          <w:color w:val="1F1F1F"/>
          <w:sz w:val="24"/>
          <w:szCs w:val="24"/>
        </w:rPr>
        <w:t xml:space="preserve">As software architecture shifts toward microservices, Application Programming Interface (APIs) have become the primary attack vector. Akamai (2025) reports a 33% year-over-year increase in web application and API attacks, driven largely by AI-powered bot tools that bypass traditional firewalls. Qazi (2023) observes that APIs are optimized for functionality and speed, often bypassing standard security controls, creating a landscape of “Shadow APIs” and undocumented interfaces that remain active but unmonitored. Research on API Gateway design shows that centralized gateways, while efficient for routing, become single points of failure when token management is insecure </w:t>
      </w:r>
      <w:r>
        <w:rPr>
          <w:color w:val="1F1F1F"/>
          <w:sz w:val="24"/>
          <w:szCs w:val="24"/>
        </w:rPr>
        <w:lastRenderedPageBreak/>
        <w:t>(Neelan, 2025). Vulnerabilities such as Broken Object Level Authorization (BOLA) allow attackers to manipulate ID fields in API requests to retrieve unauthorized data, a flaw Qazi (2023) identifies as the most persistent issue in cloud-native applications. Traceable AI (2025) reports that 65% of organizations view Generative AI as a severe risk to API security, as it lowers the technical barrier required to discover and exploit these logic flaws. The literature critiques reliance on traditional firewalls, noting they rarely inspect JSON payloads where these attacks occur (Gadani, 2024).</w:t>
      </w:r>
    </w:p>
    <w:p w14:paraId="00000037" w14:textId="77777777" w:rsidR="00E57B0F" w:rsidRDefault="00000000">
      <w:pPr>
        <w:pStyle w:val="Heading4"/>
        <w:spacing w:before="240" w:after="240" w:line="480" w:lineRule="auto"/>
        <w:rPr>
          <w:color w:val="1F1F1F"/>
        </w:rPr>
      </w:pPr>
      <w:bookmarkStart w:id="9" w:name="_ojcz0w12xygt" w:colFirst="0" w:colLast="0"/>
      <w:bookmarkEnd w:id="9"/>
      <w:r>
        <w:t xml:space="preserve">3.2 The Insider Threat </w:t>
      </w:r>
    </w:p>
    <w:p w14:paraId="00000038" w14:textId="77777777" w:rsidR="00E57B0F" w:rsidRDefault="00000000">
      <w:pPr>
        <w:spacing w:before="240" w:after="240" w:line="480" w:lineRule="auto"/>
        <w:rPr>
          <w:color w:val="1F1F1F"/>
          <w:sz w:val="24"/>
          <w:szCs w:val="24"/>
        </w:rPr>
      </w:pPr>
      <w:r>
        <w:rPr>
          <w:color w:val="1F1F1F"/>
          <w:sz w:val="24"/>
          <w:szCs w:val="24"/>
        </w:rPr>
        <w:t>Insider threats are notoriously difficult to detect, categorized by SentinelOne (2025) into three types: malicious (intentional abuse), negligent (accidental misconfiguration), and compromised (hijacked credentials). The inherent trust in internal networks makes these threats damaging; given the speed of cloud exfiltration, the average detection time of 81 days is a critical metric (DeepStrike, 2025). However, rigorous study is hindered by ethical constraints on monitoring employee behavior (Miller &amp; Mauthner, 2012), resulting in a literature base reliant on anecdotal rather than empirical evidence.</w:t>
      </w:r>
    </w:p>
    <w:p w14:paraId="00000039" w14:textId="77777777" w:rsidR="00E57B0F" w:rsidRDefault="00000000">
      <w:pPr>
        <w:pStyle w:val="Heading4"/>
        <w:spacing w:before="240" w:after="240" w:line="480" w:lineRule="auto"/>
      </w:pPr>
      <w:bookmarkStart w:id="10" w:name="_detutihve5um" w:colFirst="0" w:colLast="0"/>
      <w:bookmarkEnd w:id="10"/>
      <w:r>
        <w:t xml:space="preserve">3.3 Zero Trust Architecture (ZTA) </w:t>
      </w:r>
    </w:p>
    <w:p w14:paraId="0000003B" w14:textId="39392B1D" w:rsidR="00E57B0F" w:rsidRPr="00B33B7C" w:rsidRDefault="00000000" w:rsidP="00B33B7C">
      <w:pPr>
        <w:spacing w:before="240" w:after="240" w:line="480" w:lineRule="auto"/>
        <w:rPr>
          <w:color w:val="1F1F1F"/>
          <w:sz w:val="24"/>
          <w:szCs w:val="24"/>
        </w:rPr>
      </w:pPr>
      <w:r>
        <w:rPr>
          <w:color w:val="1F1F1F"/>
          <w:sz w:val="24"/>
          <w:szCs w:val="24"/>
        </w:rPr>
        <w:t xml:space="preserve">To mitigate API and insider risks, the literature identifies Zero Trust Architecture (ZTA) as a key evolution in cloud security. ZTA follows the principle of “never trust, always verify,” assuming the network is already compromised (CISA, 2025). Academic surveys show that ZTA effectively limits lateral movement through micro-segmentation, ensuring that even if a single workload is breached, attackers cannot easily move to others (Verma, 2025). CISA (2025) clarifies that ZTA is a maturity model rather than a single </w:t>
      </w:r>
      <w:r>
        <w:rPr>
          <w:color w:val="1F1F1F"/>
          <w:sz w:val="24"/>
          <w:szCs w:val="24"/>
        </w:rPr>
        <w:lastRenderedPageBreak/>
        <w:t>product, spanning identity, devices, and networks. However, critics note that ZTA is complex to implement and may introduce latency, creating friction between security teams and developers focused on performance (Gadani, 2024).</w:t>
      </w:r>
      <w:bookmarkStart w:id="11" w:name="_2pgj0kfwuv0" w:colFirst="0" w:colLast="0"/>
      <w:bookmarkEnd w:id="11"/>
    </w:p>
    <w:p w14:paraId="0000003C" w14:textId="77777777" w:rsidR="00E57B0F" w:rsidRDefault="00000000">
      <w:pPr>
        <w:pStyle w:val="Heading3"/>
        <w:spacing w:before="280" w:after="80"/>
      </w:pPr>
      <w:bookmarkStart w:id="12" w:name="_u3db9mbzyxxr" w:colFirst="0" w:colLast="0"/>
      <w:bookmarkEnd w:id="12"/>
      <w:r>
        <w:t>4. Methodological Approaches in Cloud Security Research</w:t>
      </w:r>
    </w:p>
    <w:p w14:paraId="0000003D" w14:textId="77777777" w:rsidR="00E57B0F" w:rsidRDefault="00000000">
      <w:pPr>
        <w:pStyle w:val="Heading4"/>
        <w:spacing w:before="240" w:after="240" w:line="480" w:lineRule="auto"/>
      </w:pPr>
      <w:bookmarkStart w:id="13" w:name="_yzfa66fjvj34" w:colFirst="0" w:colLast="0"/>
      <w:bookmarkEnd w:id="13"/>
      <w:r>
        <w:t xml:space="preserve">4.1 The Dominance of Post-Hoc Case Studies </w:t>
      </w:r>
    </w:p>
    <w:p w14:paraId="0000003E" w14:textId="77777777" w:rsidR="00E57B0F" w:rsidRDefault="00000000">
      <w:pPr>
        <w:spacing w:before="240" w:after="240" w:line="480" w:lineRule="auto"/>
        <w:rPr>
          <w:color w:val="1F1F1F"/>
          <w:sz w:val="24"/>
          <w:szCs w:val="24"/>
        </w:rPr>
      </w:pPr>
      <w:r>
        <w:rPr>
          <w:color w:val="1F1F1F"/>
          <w:sz w:val="24"/>
          <w:szCs w:val="24"/>
        </w:rPr>
        <w:t>A large portion of cloud security research relies on case study methodology to analyze post-mortem breach data. Wohlin (2021) argues that while case studies are essential in software engineering, there is frequent confusion between rigorous case studies and mere illustrative examples. This distinction is critical in cloud security literature, where rigorous case studies allow an in-depth examination of how and why specific risks materialized (Priya, 2021). Yet many industry reports lack methodological rigor, offering anecdotal breach narratives without a structured analytical framework. For instance, a major ransomware attack on a SaaS provider would require data triangulation, combining interviews with security teams and system logs to identify the root cause. Hayes et al. (2015) emphasize that a “case study cookbook” approach is necessary to ensure findings are generalizable. A key limitation of current literature is its focus on successful case studies while neglecting near-misses or unreported breaches.</w:t>
      </w:r>
    </w:p>
    <w:p w14:paraId="0000003F" w14:textId="77777777" w:rsidR="00E57B0F" w:rsidRDefault="00000000">
      <w:pPr>
        <w:pStyle w:val="Heading4"/>
        <w:spacing w:before="240" w:after="240" w:line="480" w:lineRule="auto"/>
      </w:pPr>
      <w:bookmarkStart w:id="14" w:name="_5bv108oi801" w:colFirst="0" w:colLast="0"/>
      <w:bookmarkEnd w:id="14"/>
      <w:r>
        <w:t xml:space="preserve">4.2 Qualitative vs. Quantitative Risk Assessment </w:t>
      </w:r>
    </w:p>
    <w:p w14:paraId="00000040" w14:textId="77777777" w:rsidR="00E57B0F" w:rsidRDefault="00000000">
      <w:pPr>
        <w:spacing w:before="240" w:after="240" w:line="480" w:lineRule="auto"/>
        <w:rPr>
          <w:color w:val="1F1F1F"/>
          <w:sz w:val="24"/>
          <w:szCs w:val="24"/>
        </w:rPr>
      </w:pPr>
      <w:r>
        <w:rPr>
          <w:color w:val="1F1F1F"/>
          <w:sz w:val="24"/>
          <w:szCs w:val="24"/>
        </w:rPr>
        <w:t xml:space="preserve">Risk assessment in cloud environments often employs mixed methods. Quantitative approaches, including measuring DDoS frequency or the severity of Common Vulnerabilities and Exposures (CVEs), are widely used. Berenson et al. (2020) highlight </w:t>
      </w:r>
      <w:r>
        <w:rPr>
          <w:color w:val="1F1F1F"/>
          <w:sz w:val="24"/>
          <w:szCs w:val="24"/>
        </w:rPr>
        <w:lastRenderedPageBreak/>
        <w:t>the value of descriptive statistics in establishing baselines for business data. In cloud security, these translate to “mean time to detect” (MTTD) and “mean time to respond” (MTTR), illustrated by the 33% increase in attack volume reported by Akamai (2025). Yet quantitative metrics alone cannot capture the organizational culture that shapes risk. A growing body of qualitative research uses interviews and focus groups to understand how DevOps teams interpret security policies. Kaplan and Maxwell (2005) emphasize that qualitative inquiry is essential to evaluate information systems, as context matters as much as code. For example, a cloud engineer may bypass security controls not out of malice but because they slow deployment, a finding only qualitative methods can surface (Sim and Waterfield, 2019).</w:t>
      </w:r>
    </w:p>
    <w:p w14:paraId="00000041" w14:textId="77777777" w:rsidR="00E57B0F" w:rsidRDefault="00000000">
      <w:pPr>
        <w:pStyle w:val="Heading3"/>
        <w:spacing w:before="280" w:after="80"/>
      </w:pPr>
      <w:bookmarkStart w:id="15" w:name="_54vp9l4rq1ul" w:colFirst="0" w:colLast="0"/>
      <w:bookmarkEnd w:id="15"/>
      <w:r>
        <w:t>5. Organizational Factors: DevSecOps and the Human Element.</w:t>
      </w:r>
    </w:p>
    <w:p w14:paraId="00000042" w14:textId="77777777" w:rsidR="00E57B0F" w:rsidRDefault="00000000">
      <w:pPr>
        <w:spacing w:before="240" w:after="240" w:line="480" w:lineRule="auto"/>
        <w:rPr>
          <w:color w:val="1F1F1F"/>
          <w:sz w:val="24"/>
          <w:szCs w:val="24"/>
        </w:rPr>
      </w:pPr>
      <w:r>
        <w:rPr>
          <w:color w:val="1F1F1F"/>
          <w:sz w:val="24"/>
          <w:szCs w:val="24"/>
        </w:rPr>
        <w:t>The integration of security into the development lifecycle, known as DevSecOps, addresses the cultural friction identified in previous sections. A 2025 systematic literature review published in Software analyzes peer-reviewed studies to conclude that DevSecOps is a "cultural transformation" rather than just a tooling upgrade (MDPI, 2025).</w:t>
      </w:r>
    </w:p>
    <w:p w14:paraId="00000043" w14:textId="77777777" w:rsidR="00E57B0F" w:rsidRDefault="00000000">
      <w:pPr>
        <w:pStyle w:val="Heading4"/>
        <w:spacing w:before="240" w:after="240" w:line="480" w:lineRule="auto"/>
      </w:pPr>
      <w:bookmarkStart w:id="16" w:name="_5fdu27brjaod" w:colFirst="0" w:colLast="0"/>
      <w:bookmarkEnd w:id="16"/>
      <w:r>
        <w:t>5.1 The "Shift Left" Paradigm</w:t>
      </w:r>
    </w:p>
    <w:p w14:paraId="00000044" w14:textId="77777777" w:rsidR="00E57B0F" w:rsidRDefault="00000000">
      <w:pPr>
        <w:spacing w:before="240" w:after="240" w:line="480" w:lineRule="auto"/>
        <w:rPr>
          <w:color w:val="1F1F1F"/>
          <w:sz w:val="24"/>
          <w:szCs w:val="24"/>
        </w:rPr>
      </w:pPr>
      <w:r>
        <w:rPr>
          <w:color w:val="1F1F1F"/>
          <w:sz w:val="24"/>
          <w:szCs w:val="24"/>
        </w:rPr>
        <w:t>The literature advocates for "Shifting Left", that is, moving security testing to the earliest stages of development (planning and coding) rather than the end (testing and deployment) (Gadani, 2024). Academic analysis of DevSecOps suggests that this approach significantly reduces the cost of fixing vulnerabilities, as bugs are identified before they are baked into the infrastructure.</w:t>
      </w:r>
    </w:p>
    <w:p w14:paraId="00000045" w14:textId="77777777" w:rsidR="00E57B0F" w:rsidRDefault="00000000">
      <w:pPr>
        <w:spacing w:before="240" w:after="240" w:line="480" w:lineRule="auto"/>
        <w:rPr>
          <w:color w:val="1F1F1F"/>
          <w:sz w:val="24"/>
          <w:szCs w:val="24"/>
        </w:rPr>
      </w:pPr>
      <w:r>
        <w:rPr>
          <w:color w:val="1F1F1F"/>
          <w:sz w:val="24"/>
          <w:szCs w:val="24"/>
        </w:rPr>
        <w:lastRenderedPageBreak/>
        <w:t>However, implementing this requires high levels of automation. Without automated tools (e.g., SAST/DAST scanners in the CI/CD pipeline), "Shift Left" can become a bottleneck, slowing down the Agile release cycles described by Mircea (2019).</w:t>
      </w:r>
    </w:p>
    <w:p w14:paraId="00000046" w14:textId="77777777" w:rsidR="00E57B0F" w:rsidRDefault="00000000">
      <w:pPr>
        <w:pStyle w:val="Heading4"/>
        <w:spacing w:before="240" w:after="240" w:line="480" w:lineRule="auto"/>
      </w:pPr>
      <w:bookmarkStart w:id="17" w:name="_rx5433bkaoyb" w:colFirst="0" w:colLast="0"/>
      <w:bookmarkEnd w:id="17"/>
      <w:r>
        <w:t xml:space="preserve">5.2 AI-Driven Threat Detection and Response </w:t>
      </w:r>
    </w:p>
    <w:p w14:paraId="00000047" w14:textId="77777777" w:rsidR="00E57B0F" w:rsidRDefault="00000000">
      <w:pPr>
        <w:spacing w:before="240" w:after="240" w:line="480" w:lineRule="auto"/>
        <w:rPr>
          <w:color w:val="1F1F1F"/>
          <w:sz w:val="24"/>
          <w:szCs w:val="24"/>
        </w:rPr>
      </w:pPr>
      <w:r>
        <w:rPr>
          <w:color w:val="1F1F1F"/>
          <w:sz w:val="24"/>
          <w:szCs w:val="24"/>
        </w:rPr>
        <w:t>A major trend identified in 2025 literature is the dual role of AI in DevSecOps. On one hand, AI tools are essential for analyzing the vast datasets generated by cloud monitoring logs to identify deviations from the norm (CSA, 2025). On the other hand, reliance on AI introduces new risks, such as "alert fatigue" or adversarial attacks on the AI models themselves. Cyble (2025) notes that while 83% of companies have experienced a cloud breach in the last 18 months, AI-driven platforms are shifting the defense strategy from reactive to predictive.</w:t>
      </w:r>
    </w:p>
    <w:p w14:paraId="00000048" w14:textId="77777777" w:rsidR="00E57B0F" w:rsidRDefault="00000000">
      <w:pPr>
        <w:pStyle w:val="Heading3"/>
      </w:pPr>
      <w:bookmarkStart w:id="18" w:name="_avj68bhl1qcg" w:colFirst="0" w:colLast="0"/>
      <w:bookmarkEnd w:id="18"/>
      <w:r>
        <w:t>6. Discrepancies and Limitations</w:t>
      </w:r>
    </w:p>
    <w:p w14:paraId="00000049" w14:textId="77777777" w:rsidR="00E57B0F" w:rsidRDefault="00000000">
      <w:pPr>
        <w:pStyle w:val="Heading4"/>
      </w:pPr>
      <w:bookmarkStart w:id="19" w:name="_f5eqkj53ndni" w:colFirst="0" w:colLast="0"/>
      <w:bookmarkEnd w:id="19"/>
      <w:r>
        <w:t>6.1 The Gap Between Theory and Practice</w:t>
      </w:r>
    </w:p>
    <w:p w14:paraId="0000004A" w14:textId="77777777" w:rsidR="00E57B0F" w:rsidRDefault="00000000">
      <w:pPr>
        <w:spacing w:before="240" w:after="240" w:line="480" w:lineRule="auto"/>
        <w:rPr>
          <w:b/>
          <w:bCs/>
          <w:color w:val="1F1F1F"/>
          <w:sz w:val="24"/>
          <w:szCs w:val="24"/>
        </w:rPr>
      </w:pPr>
      <w:r>
        <w:rPr>
          <w:color w:val="1F1F1F"/>
          <w:sz w:val="24"/>
          <w:szCs w:val="24"/>
        </w:rPr>
        <w:t>A major discrepancy identified in the literature is the "compliance gap" between academic risk models and industry agility. Academic literature often proposes rigid Security Development Lifecycles (SDL), referencing standard project management methodologies that emphasize linear phases (Nicholas &amp; Steyn, 2020). Conversely, the software industry increasingly relies on Agile and DevOps frameworks, which prioritize speed and continuous deployment (Mircea, 2019). This creates a disconnect where documentation claims strict adherence to ISO standards, but the technical reality of microservices deployment often bypasses these controls to maintain velocity</w:t>
      </w:r>
    </w:p>
    <w:p w14:paraId="0000004B" w14:textId="77777777" w:rsidR="00E57B0F" w:rsidRDefault="00000000">
      <w:pPr>
        <w:pStyle w:val="Heading4"/>
        <w:spacing w:before="240" w:after="240" w:line="480" w:lineRule="auto"/>
      </w:pPr>
      <w:bookmarkStart w:id="20" w:name="_uk2lpq5u21a3" w:colFirst="0" w:colLast="0"/>
      <w:bookmarkEnd w:id="20"/>
      <w:r>
        <w:lastRenderedPageBreak/>
        <w:t xml:space="preserve">6.2 The Limitation of Data Access </w:t>
      </w:r>
    </w:p>
    <w:p w14:paraId="0000004C" w14:textId="77777777" w:rsidR="00E57B0F" w:rsidRDefault="00000000">
      <w:pPr>
        <w:spacing w:before="240" w:after="240" w:line="480" w:lineRule="auto"/>
        <w:rPr>
          <w:color w:val="1F1F1F"/>
          <w:sz w:val="24"/>
          <w:szCs w:val="24"/>
        </w:rPr>
      </w:pPr>
      <w:r>
        <w:rPr>
          <w:color w:val="1F1F1F"/>
          <w:sz w:val="24"/>
          <w:szCs w:val="24"/>
        </w:rPr>
        <w:t>A persistent limitation in cloud security research is the lack of access to primary data. Because breaches are sensitive and pose reputational risks, companies are reluctant to share internal logs with researchers (Gray, 2014). As a result, the literature relies on three types of data: synthetic simulations of attacks, which limit real-world generalizability; public disclosures, often restricted to mandatory breach notifications (e.g., GDPR filings) that lack technical detail; and survey data, which self-reports security maturity and is affected by social desirability bias, leading respondents to overstate their security posture (Saunders et al., 2019).</w:t>
      </w:r>
    </w:p>
    <w:p w14:paraId="0000004D" w14:textId="77777777" w:rsidR="00E57B0F" w:rsidRDefault="00000000">
      <w:pPr>
        <w:pStyle w:val="Heading4"/>
        <w:spacing w:before="240" w:after="240" w:line="480" w:lineRule="auto"/>
      </w:pPr>
      <w:bookmarkStart w:id="21" w:name="_77so0o7kri4n" w:colFirst="0" w:colLast="0"/>
      <w:bookmarkEnd w:id="21"/>
      <w:r>
        <w:t>6.3 The Unaddressed Risk of AI</w:t>
      </w:r>
    </w:p>
    <w:p w14:paraId="0000004E" w14:textId="77777777" w:rsidR="00E57B0F" w:rsidRDefault="00000000">
      <w:pPr>
        <w:spacing w:before="240" w:after="240" w:line="480" w:lineRule="auto"/>
        <w:rPr>
          <w:color w:val="1F1F1F"/>
          <w:sz w:val="24"/>
          <w:szCs w:val="24"/>
        </w:rPr>
      </w:pPr>
      <w:r>
        <w:rPr>
          <w:color w:val="1F1F1F"/>
          <w:sz w:val="24"/>
          <w:szCs w:val="24"/>
        </w:rPr>
        <w:t>Finally, a significant gap exists regarding the governance of Generative AI in the cloud. While Fjeld et al. (2020) map a consensus on high-level ethical principles for AI, the specific security risks of AI agents operating within cloud infrastructure (e.g., automated permission granting) remain under-researched. This represents a lag where the ethical guidelines have not yet caught up with the technical implementation described in recent industry reports (Traceable AI, 2025).</w:t>
      </w:r>
    </w:p>
    <w:p w14:paraId="0000004F" w14:textId="77777777" w:rsidR="00E57B0F" w:rsidRDefault="00000000">
      <w:pPr>
        <w:pStyle w:val="Heading3"/>
      </w:pPr>
      <w:bookmarkStart w:id="22" w:name="_6r01poukyck3" w:colFirst="0" w:colLast="0"/>
      <w:bookmarkEnd w:id="22"/>
      <w:r>
        <w:t>7. Conclusion</w:t>
      </w:r>
    </w:p>
    <w:p w14:paraId="00000050" w14:textId="77777777" w:rsidR="00E57B0F" w:rsidRDefault="00000000">
      <w:pPr>
        <w:spacing w:before="240" w:after="240" w:line="480" w:lineRule="auto"/>
        <w:rPr>
          <w:color w:val="1F1F1F"/>
          <w:sz w:val="24"/>
          <w:szCs w:val="24"/>
        </w:rPr>
      </w:pPr>
      <w:r>
        <w:rPr>
          <w:color w:val="1F1F1F"/>
          <w:sz w:val="24"/>
          <w:szCs w:val="24"/>
        </w:rPr>
        <w:t xml:space="preserve">Effective cloud security requires converging disciplines, moving beyond technical patching to realign governance and research methodologies with the shared responsibility of the modern ecosystem. The review identifies a fundamental tension between agility and control. The DevOps prioritization of speed fosters "Shadow APIs," </w:t>
      </w:r>
      <w:r>
        <w:rPr>
          <w:color w:val="1F1F1F"/>
          <w:sz w:val="24"/>
          <w:szCs w:val="24"/>
        </w:rPr>
        <w:lastRenderedPageBreak/>
        <w:t>a disconnect actively exploited; Akamai (2025) reports a 33% surge in automated attacks targeting these gaps. Furthermore, the Shared Responsibility Model has evolved into a source of ambiguity, with misconfigurations driving the majority of breaches. Methodologically, the literature relies heavily on post-hoc case studies and quantitative metrics. As Wohlin (2021) argues, this suffers from "survivorship bias," ignoring near-misses. The industry lacks the deep, qualitative inquiry described by Kaplan and Maxwell (2005) necessary to understand the human element of risk, such as why developers bypass security protocols.</w:t>
      </w:r>
    </w:p>
    <w:p w14:paraId="00000051" w14:textId="77777777" w:rsidR="00E57B0F" w:rsidRDefault="00000000">
      <w:pPr>
        <w:pStyle w:val="Heading4"/>
        <w:spacing w:before="240" w:after="240" w:line="480" w:lineRule="auto"/>
      </w:pPr>
      <w:bookmarkStart w:id="23" w:name="_vdp3s71hrkb7" w:colFirst="0" w:colLast="0"/>
      <w:bookmarkEnd w:id="23"/>
      <w:r>
        <w:t>7.1 Future Research Directions Based on these findings.</w:t>
      </w:r>
    </w:p>
    <w:p w14:paraId="00000052" w14:textId="77777777" w:rsidR="00E57B0F" w:rsidRDefault="00000000">
      <w:pPr>
        <w:spacing w:before="240" w:after="240" w:line="480" w:lineRule="auto"/>
        <w:rPr>
          <w:color w:val="1F1F1F"/>
          <w:sz w:val="20"/>
          <w:szCs w:val="20"/>
        </w:rPr>
      </w:pPr>
      <w:r>
        <w:rPr>
          <w:color w:val="1F1F1F"/>
          <w:sz w:val="24"/>
          <w:szCs w:val="24"/>
        </w:rPr>
        <w:t>The literature argues that the traditional perimeter is obsolete. Organizations must adopt identity-centric security, such as Zero Trust Architecture, to mitigate shared responsibility risks and insider threats (CISA, 2025). Future academic research should use mixed-methods designs to investigate the underlying behaviors that drive security decisions, rather than limiting analysis to vulnerability counts (Creswell, 2022). There is also a need to operationalize ethical frameworks like the Menlo Report within automated DevSecOps pipelines, ensuring ethical defaults for developers and reducing the likelihood of insecure practices (Finn &amp; Shilton, 2023).</w:t>
      </w:r>
    </w:p>
    <w:p w14:paraId="00000053" w14:textId="77777777" w:rsidR="00E57B0F" w:rsidRDefault="00B33B7C">
      <w:pPr>
        <w:spacing w:before="240" w:after="240" w:line="480" w:lineRule="auto"/>
        <w:rPr>
          <w:color w:val="1F1F1F"/>
          <w:sz w:val="20"/>
          <w:szCs w:val="20"/>
        </w:rPr>
      </w:pPr>
      <w:r>
        <w:rPr>
          <w:noProof/>
        </w:rPr>
      </w:r>
      <w:r w:rsidR="00B33B7C">
        <w:rPr>
          <w:noProof/>
        </w:rPr>
        <w:pict w14:anchorId="3937B193">
          <v:rect id="_x0000_i1025" alt="" style="width:468pt;height:.05pt;mso-width-percent:0;mso-height-percent:0;mso-width-percent:0;mso-height-percent:0" o:hralign="center" o:hrstd="t" o:hr="t" fillcolor="#a0a0a0" stroked="f"/>
        </w:pict>
      </w:r>
    </w:p>
    <w:p w14:paraId="00000054" w14:textId="77777777" w:rsidR="00E57B0F" w:rsidRDefault="00000000">
      <w:pPr>
        <w:pStyle w:val="Heading3"/>
        <w:spacing w:before="280" w:after="80"/>
        <w:rPr>
          <w:color w:val="1F1F1F"/>
          <w:sz w:val="24"/>
          <w:szCs w:val="24"/>
        </w:rPr>
      </w:pPr>
      <w:bookmarkStart w:id="24" w:name="_emk8vxwfmnj" w:colFirst="0" w:colLast="0"/>
      <w:bookmarkEnd w:id="24"/>
      <w:r>
        <w:rPr>
          <w:color w:val="1F1F1F"/>
          <w:sz w:val="24"/>
          <w:szCs w:val="24"/>
        </w:rPr>
        <w:t>Reference List</w:t>
      </w:r>
    </w:p>
    <w:p w14:paraId="00000055" w14:textId="77777777" w:rsidR="00E57B0F" w:rsidRDefault="00000000">
      <w:pPr>
        <w:spacing w:before="240" w:after="240" w:line="480" w:lineRule="auto"/>
        <w:rPr>
          <w:color w:val="1F1F1F"/>
          <w:sz w:val="24"/>
          <w:szCs w:val="24"/>
        </w:rPr>
      </w:pPr>
      <w:r>
        <w:rPr>
          <w:color w:val="1F1F1F"/>
          <w:sz w:val="24"/>
          <w:szCs w:val="24"/>
        </w:rPr>
        <w:t xml:space="preserve">Akamai. (2025) </w:t>
      </w:r>
      <w:r>
        <w:rPr>
          <w:i/>
          <w:iCs/>
          <w:color w:val="1F1F1F"/>
          <w:sz w:val="24"/>
          <w:szCs w:val="24"/>
        </w:rPr>
        <w:t>State of Apps and API Security 2025: How AI Is Shifting the Digital Terrain</w:t>
      </w:r>
      <w:r>
        <w:rPr>
          <w:color w:val="1F1F1F"/>
          <w:sz w:val="24"/>
          <w:szCs w:val="24"/>
        </w:rPr>
        <w:t>. [Report]. Available from:</w:t>
      </w:r>
      <w:hyperlink r:id="rId6">
        <w:r>
          <w:rPr>
            <w:color w:val="1F1F1F"/>
            <w:sz w:val="24"/>
            <w:szCs w:val="24"/>
          </w:rPr>
          <w:t xml:space="preserve"> </w:t>
        </w:r>
      </w:hyperlink>
      <w:hyperlink r:id="rId7">
        <w:r>
          <w:rPr>
            <w:color w:val="1155CC"/>
            <w:sz w:val="24"/>
            <w:szCs w:val="24"/>
            <w:u w:val="single"/>
          </w:rPr>
          <w:t>https://mysecuritymarketplace.com/reports</w:t>
        </w:r>
      </w:hyperlink>
      <w:r>
        <w:rPr>
          <w:color w:val="1F1F1F"/>
          <w:sz w:val="24"/>
          <w:szCs w:val="24"/>
        </w:rPr>
        <w:t xml:space="preserve"> [Accessed </w:t>
      </w:r>
      <w:r>
        <w:rPr>
          <w:color w:val="1F1F1F"/>
          <w:sz w:val="24"/>
          <w:szCs w:val="24"/>
        </w:rPr>
        <w:lastRenderedPageBreak/>
        <w:t>8 December 2025].</w:t>
      </w:r>
    </w:p>
    <w:p w14:paraId="00000056" w14:textId="77777777" w:rsidR="00E57B0F" w:rsidRDefault="00000000">
      <w:pPr>
        <w:spacing w:before="240" w:after="240" w:line="480" w:lineRule="auto"/>
        <w:rPr>
          <w:color w:val="1F1F1F"/>
          <w:sz w:val="24"/>
          <w:szCs w:val="24"/>
        </w:rPr>
      </w:pPr>
      <w:r>
        <w:rPr>
          <w:color w:val="1F1F1F"/>
          <w:sz w:val="24"/>
          <w:szCs w:val="24"/>
        </w:rPr>
        <w:t xml:space="preserve">Berenson, M. L., Levine, D. &amp; Szabat, K. (2020) </w:t>
      </w:r>
      <w:r>
        <w:rPr>
          <w:i/>
          <w:iCs/>
          <w:color w:val="1F1F1F"/>
          <w:sz w:val="24"/>
          <w:szCs w:val="24"/>
        </w:rPr>
        <w:t>Basic Business Statistics: Concepts and Applications</w:t>
      </w:r>
      <w:r>
        <w:rPr>
          <w:color w:val="1F1F1F"/>
          <w:sz w:val="24"/>
          <w:szCs w:val="24"/>
        </w:rPr>
        <w:t>. 14th ed. Harlow: Pearson.</w:t>
      </w:r>
    </w:p>
    <w:p w14:paraId="00000057" w14:textId="77777777" w:rsidR="00E57B0F" w:rsidRDefault="00000000">
      <w:pPr>
        <w:spacing w:before="240" w:after="240" w:line="480" w:lineRule="auto"/>
        <w:rPr>
          <w:color w:val="1F1F1F"/>
          <w:sz w:val="24"/>
          <w:szCs w:val="24"/>
        </w:rPr>
      </w:pPr>
      <w:r>
        <w:rPr>
          <w:color w:val="1F1F1F"/>
          <w:sz w:val="24"/>
          <w:szCs w:val="24"/>
        </w:rPr>
        <w:t xml:space="preserve">Check Point. (2025) </w:t>
      </w:r>
      <w:r>
        <w:rPr>
          <w:i/>
          <w:iCs/>
          <w:color w:val="1F1F1F"/>
          <w:sz w:val="24"/>
          <w:szCs w:val="24"/>
        </w:rPr>
        <w:t>Top Cloud Security Trends in 2025</w:t>
      </w:r>
      <w:r>
        <w:rPr>
          <w:color w:val="1F1F1F"/>
          <w:sz w:val="24"/>
          <w:szCs w:val="24"/>
        </w:rPr>
        <w:t>. [Webpage]. Available from:</w:t>
      </w:r>
      <w:hyperlink r:id="rId8">
        <w:r>
          <w:rPr>
            <w:color w:val="1F1F1F"/>
            <w:sz w:val="24"/>
            <w:szCs w:val="24"/>
          </w:rPr>
          <w:t xml:space="preserve"> </w:t>
        </w:r>
      </w:hyperlink>
      <w:hyperlink r:id="rId9">
        <w:r>
          <w:rPr>
            <w:color w:val="1155CC"/>
            <w:sz w:val="24"/>
            <w:szCs w:val="24"/>
            <w:u w:val="single"/>
          </w:rPr>
          <w:t>https://www.checkpoint.com</w:t>
        </w:r>
      </w:hyperlink>
      <w:r>
        <w:rPr>
          <w:color w:val="1F1F1F"/>
          <w:sz w:val="24"/>
          <w:szCs w:val="24"/>
        </w:rPr>
        <w:t xml:space="preserve"> [Accessed 8 December 2025].</w:t>
      </w:r>
    </w:p>
    <w:p w14:paraId="00000058" w14:textId="77777777" w:rsidR="00E57B0F" w:rsidRDefault="00000000">
      <w:pPr>
        <w:spacing w:before="240" w:after="240" w:line="480" w:lineRule="auto"/>
        <w:rPr>
          <w:color w:val="1F1F1F"/>
          <w:sz w:val="24"/>
          <w:szCs w:val="24"/>
        </w:rPr>
      </w:pPr>
      <w:r>
        <w:rPr>
          <w:color w:val="1F1F1F"/>
          <w:sz w:val="24"/>
          <w:szCs w:val="24"/>
        </w:rPr>
        <w:t xml:space="preserve">CISA. (2025) </w:t>
      </w:r>
      <w:r>
        <w:rPr>
          <w:i/>
          <w:iCs/>
          <w:color w:val="1F1F1F"/>
          <w:sz w:val="24"/>
          <w:szCs w:val="24"/>
        </w:rPr>
        <w:t>Zero Trust Architecture Implementation - Fiscal Year 2024 Report to Congress</w:t>
      </w:r>
      <w:r>
        <w:rPr>
          <w:color w:val="1F1F1F"/>
          <w:sz w:val="24"/>
          <w:szCs w:val="24"/>
        </w:rPr>
        <w:t>. Washington, D.C.: Cybersecurity and Infrastructure Security Agency.</w:t>
      </w:r>
    </w:p>
    <w:p w14:paraId="00000059" w14:textId="77777777" w:rsidR="00E57B0F" w:rsidRDefault="00000000">
      <w:pPr>
        <w:spacing w:before="240" w:after="240" w:line="480" w:lineRule="auto"/>
        <w:rPr>
          <w:color w:val="1F1F1F"/>
          <w:sz w:val="24"/>
          <w:szCs w:val="24"/>
        </w:rPr>
      </w:pPr>
      <w:r>
        <w:rPr>
          <w:color w:val="1F1F1F"/>
          <w:sz w:val="24"/>
          <w:szCs w:val="24"/>
        </w:rPr>
        <w:t xml:space="preserve">Creswell, J. W. (2022) </w:t>
      </w:r>
      <w:r>
        <w:rPr>
          <w:i/>
          <w:iCs/>
          <w:color w:val="1F1F1F"/>
          <w:sz w:val="24"/>
          <w:szCs w:val="24"/>
        </w:rPr>
        <w:t>1. What is Mixed Methods Research? | John W. Creswell | Mixed Methods @ University of Michigan</w:t>
      </w:r>
      <w:r>
        <w:rPr>
          <w:color w:val="1F1F1F"/>
          <w:sz w:val="24"/>
          <w:szCs w:val="24"/>
        </w:rPr>
        <w:t>. [Video]. Available from:</w:t>
      </w:r>
      <w:hyperlink r:id="rId10">
        <w:r>
          <w:rPr>
            <w:color w:val="1F1F1F"/>
            <w:sz w:val="24"/>
            <w:szCs w:val="24"/>
          </w:rPr>
          <w:t xml:space="preserve"> </w:t>
        </w:r>
      </w:hyperlink>
      <w:hyperlink r:id="rId11">
        <w:r>
          <w:rPr>
            <w:color w:val="1155CC"/>
            <w:sz w:val="24"/>
            <w:szCs w:val="24"/>
            <w:u w:val="single"/>
          </w:rPr>
          <w:t>https://www.youtube.com</w:t>
        </w:r>
      </w:hyperlink>
      <w:r>
        <w:rPr>
          <w:color w:val="1F1F1F"/>
          <w:sz w:val="24"/>
          <w:szCs w:val="24"/>
        </w:rPr>
        <w:t xml:space="preserve"> [Accessed 8 December 2025].</w:t>
      </w:r>
    </w:p>
    <w:p w14:paraId="0000005A" w14:textId="77777777" w:rsidR="00E57B0F" w:rsidRDefault="00000000">
      <w:pPr>
        <w:spacing w:before="240" w:after="240" w:line="480" w:lineRule="auto"/>
        <w:rPr>
          <w:color w:val="1F1F1F"/>
          <w:sz w:val="24"/>
          <w:szCs w:val="24"/>
        </w:rPr>
      </w:pPr>
      <w:r>
        <w:rPr>
          <w:color w:val="1F1F1F"/>
          <w:sz w:val="24"/>
          <w:szCs w:val="24"/>
        </w:rPr>
        <w:t xml:space="preserve">Cloud Security Alliance (CSA). (2025) </w:t>
      </w:r>
      <w:r>
        <w:rPr>
          <w:i/>
          <w:iCs/>
          <w:color w:val="1F1F1F"/>
          <w:sz w:val="24"/>
          <w:szCs w:val="24"/>
        </w:rPr>
        <w:t>The State of Cloud and AI Security 2025</w:t>
      </w:r>
      <w:r>
        <w:rPr>
          <w:color w:val="1F1F1F"/>
          <w:sz w:val="24"/>
          <w:szCs w:val="24"/>
        </w:rPr>
        <w:t>. [Report]. Available from:</w:t>
      </w:r>
      <w:hyperlink r:id="rId12">
        <w:r>
          <w:rPr>
            <w:color w:val="1F1F1F"/>
            <w:sz w:val="24"/>
            <w:szCs w:val="24"/>
          </w:rPr>
          <w:t xml:space="preserve"> </w:t>
        </w:r>
      </w:hyperlink>
      <w:hyperlink r:id="rId13">
        <w:r>
          <w:rPr>
            <w:color w:val="1155CC"/>
            <w:sz w:val="24"/>
            <w:szCs w:val="24"/>
            <w:u w:val="single"/>
          </w:rPr>
          <w:t>https://cloudsecurityalliance.org</w:t>
        </w:r>
      </w:hyperlink>
      <w:r>
        <w:rPr>
          <w:color w:val="1F1F1F"/>
          <w:sz w:val="24"/>
          <w:szCs w:val="24"/>
        </w:rPr>
        <w:t xml:space="preserve"> [Accessed 8 December 2025].</w:t>
      </w:r>
    </w:p>
    <w:p w14:paraId="0000005B" w14:textId="77777777" w:rsidR="00E57B0F" w:rsidRDefault="00000000">
      <w:pPr>
        <w:spacing w:before="240" w:after="240" w:line="480" w:lineRule="auto"/>
        <w:rPr>
          <w:color w:val="1F1F1F"/>
          <w:sz w:val="24"/>
          <w:szCs w:val="24"/>
        </w:rPr>
      </w:pPr>
      <w:r>
        <w:rPr>
          <w:color w:val="1F1F1F"/>
          <w:sz w:val="24"/>
          <w:szCs w:val="24"/>
        </w:rPr>
        <w:t xml:space="preserve">Cyble. (2025) </w:t>
      </w:r>
      <w:r>
        <w:rPr>
          <w:i/>
          <w:iCs/>
          <w:color w:val="1F1F1F"/>
          <w:sz w:val="24"/>
          <w:szCs w:val="24"/>
        </w:rPr>
        <w:t>AI-Powered Cloud Security Platforms In 2025</w:t>
      </w:r>
      <w:r>
        <w:rPr>
          <w:color w:val="1F1F1F"/>
          <w:sz w:val="24"/>
          <w:szCs w:val="24"/>
        </w:rPr>
        <w:t>. [Webpage]. Available from:</w:t>
      </w:r>
      <w:hyperlink r:id="rId14">
        <w:r>
          <w:rPr>
            <w:color w:val="1F1F1F"/>
            <w:sz w:val="24"/>
            <w:szCs w:val="24"/>
          </w:rPr>
          <w:t xml:space="preserve"> </w:t>
        </w:r>
      </w:hyperlink>
      <w:hyperlink r:id="rId15">
        <w:r>
          <w:rPr>
            <w:color w:val="1155CC"/>
            <w:sz w:val="24"/>
            <w:szCs w:val="24"/>
            <w:u w:val="single"/>
          </w:rPr>
          <w:t>https://cyble.com</w:t>
        </w:r>
      </w:hyperlink>
      <w:r>
        <w:rPr>
          <w:color w:val="1F1F1F"/>
          <w:sz w:val="24"/>
          <w:szCs w:val="24"/>
        </w:rPr>
        <w:t xml:space="preserve"> [Accessed 8 December 2025].</w:t>
      </w:r>
    </w:p>
    <w:p w14:paraId="0000005C" w14:textId="77777777" w:rsidR="00E57B0F" w:rsidRDefault="00000000">
      <w:pPr>
        <w:spacing w:before="240" w:after="240" w:line="480" w:lineRule="auto"/>
        <w:rPr>
          <w:color w:val="1F1F1F"/>
          <w:sz w:val="24"/>
          <w:szCs w:val="24"/>
        </w:rPr>
      </w:pPr>
      <w:r>
        <w:rPr>
          <w:color w:val="1F1F1F"/>
          <w:sz w:val="24"/>
          <w:szCs w:val="24"/>
        </w:rPr>
        <w:t xml:space="preserve">Dawson, C. (2015) </w:t>
      </w:r>
      <w:r>
        <w:rPr>
          <w:i/>
          <w:iCs/>
          <w:color w:val="1F1F1F"/>
          <w:sz w:val="24"/>
          <w:szCs w:val="24"/>
        </w:rPr>
        <w:t>Projects in Computing and Information Systems: A Student's Guide</w:t>
      </w:r>
      <w:r>
        <w:rPr>
          <w:color w:val="1F1F1F"/>
          <w:sz w:val="24"/>
          <w:szCs w:val="24"/>
        </w:rPr>
        <w:t>. 3rd ed. Harlow: Pearson.</w:t>
      </w:r>
    </w:p>
    <w:p w14:paraId="0000005D" w14:textId="77777777" w:rsidR="00E57B0F" w:rsidRDefault="00000000">
      <w:pPr>
        <w:spacing w:before="240" w:after="240" w:line="480" w:lineRule="auto"/>
        <w:rPr>
          <w:color w:val="1F1F1F"/>
          <w:sz w:val="24"/>
          <w:szCs w:val="24"/>
        </w:rPr>
      </w:pPr>
      <w:r>
        <w:rPr>
          <w:color w:val="1F1F1F"/>
          <w:sz w:val="24"/>
          <w:szCs w:val="24"/>
        </w:rPr>
        <w:t>DeepStrike. (2025) Insider Threat Statistics 2025. [Webpage]. Available from: https://deepstrike.io [Accessed 5 December 2025].</w:t>
      </w:r>
    </w:p>
    <w:p w14:paraId="0000005E" w14:textId="77777777" w:rsidR="00E57B0F" w:rsidRDefault="00000000">
      <w:pPr>
        <w:spacing w:before="240" w:after="240" w:line="480" w:lineRule="auto"/>
        <w:rPr>
          <w:color w:val="1F1F1F"/>
          <w:sz w:val="24"/>
          <w:szCs w:val="24"/>
        </w:rPr>
      </w:pPr>
      <w:r>
        <w:rPr>
          <w:color w:val="1F1F1F"/>
          <w:sz w:val="24"/>
          <w:szCs w:val="24"/>
        </w:rPr>
        <w:t xml:space="preserve">Finn, M. &amp; Shilton, K. (2023) Ethics governance development: The case of the Menlo Report. </w:t>
      </w:r>
      <w:r>
        <w:rPr>
          <w:i/>
          <w:iCs/>
          <w:color w:val="1F1F1F"/>
          <w:sz w:val="24"/>
          <w:szCs w:val="24"/>
        </w:rPr>
        <w:t>Social Studies of Science</w:t>
      </w:r>
      <w:r>
        <w:rPr>
          <w:color w:val="1F1F1F"/>
          <w:sz w:val="24"/>
          <w:szCs w:val="24"/>
        </w:rPr>
        <w:t>.</w:t>
      </w:r>
    </w:p>
    <w:p w14:paraId="0000005F" w14:textId="77777777" w:rsidR="00E57B0F" w:rsidRDefault="00000000">
      <w:pPr>
        <w:spacing w:before="240" w:after="240" w:line="480" w:lineRule="auto"/>
        <w:rPr>
          <w:color w:val="1F1F1F"/>
          <w:sz w:val="24"/>
          <w:szCs w:val="24"/>
        </w:rPr>
      </w:pPr>
      <w:r>
        <w:rPr>
          <w:color w:val="1F1F1F"/>
          <w:sz w:val="24"/>
          <w:szCs w:val="24"/>
        </w:rPr>
        <w:lastRenderedPageBreak/>
        <w:t xml:space="preserve">Fjeld, J., Achten, N., Hilligoss, H., Nagy, A. &amp; Srikumar, M. (2020) Principled Artificial Intelligence: Mapping Consensus in Ethical and Rights-Based Approaches to Principles for AI. </w:t>
      </w:r>
      <w:r>
        <w:rPr>
          <w:i/>
          <w:iCs/>
          <w:color w:val="1F1F1F"/>
          <w:sz w:val="24"/>
          <w:szCs w:val="24"/>
        </w:rPr>
        <w:t>SSRN Electronic Journal</w:t>
      </w:r>
      <w:r>
        <w:rPr>
          <w:color w:val="1F1F1F"/>
          <w:sz w:val="24"/>
          <w:szCs w:val="24"/>
        </w:rPr>
        <w:t>.</w:t>
      </w:r>
    </w:p>
    <w:p w14:paraId="00000060" w14:textId="77777777" w:rsidR="00E57B0F" w:rsidRDefault="00000000">
      <w:pPr>
        <w:spacing w:before="240" w:after="240" w:line="480" w:lineRule="auto"/>
        <w:rPr>
          <w:color w:val="1F1F1F"/>
          <w:sz w:val="24"/>
          <w:szCs w:val="24"/>
        </w:rPr>
      </w:pPr>
      <w:r>
        <w:rPr>
          <w:color w:val="1F1F1F"/>
          <w:sz w:val="24"/>
          <w:szCs w:val="24"/>
        </w:rPr>
        <w:t xml:space="preserve">Gartner. (2024) </w:t>
      </w:r>
      <w:r>
        <w:rPr>
          <w:i/>
          <w:iCs/>
          <w:color w:val="1F1F1F"/>
          <w:sz w:val="24"/>
          <w:szCs w:val="24"/>
        </w:rPr>
        <w:t>Gartner Forecasts Worldwide Public Cloud End-User Spending to Total $723 Billion in 2025</w:t>
      </w:r>
      <w:r>
        <w:rPr>
          <w:color w:val="1F1F1F"/>
          <w:sz w:val="24"/>
          <w:szCs w:val="24"/>
        </w:rPr>
        <w:t>. [Press Release]. 19 November. Available from:</w:t>
      </w:r>
      <w:hyperlink r:id="rId16">
        <w:r>
          <w:rPr>
            <w:color w:val="1F1F1F"/>
            <w:sz w:val="24"/>
            <w:szCs w:val="24"/>
          </w:rPr>
          <w:t xml:space="preserve"> </w:t>
        </w:r>
      </w:hyperlink>
      <w:hyperlink r:id="rId17">
        <w:r>
          <w:rPr>
            <w:color w:val="1155CC"/>
            <w:sz w:val="24"/>
            <w:szCs w:val="24"/>
            <w:u w:val="single"/>
          </w:rPr>
          <w:t>https://www.gartner.com</w:t>
        </w:r>
      </w:hyperlink>
      <w:r>
        <w:rPr>
          <w:color w:val="1F1F1F"/>
          <w:sz w:val="24"/>
          <w:szCs w:val="24"/>
        </w:rPr>
        <w:t>.</w:t>
      </w:r>
    </w:p>
    <w:p w14:paraId="00000061" w14:textId="77777777" w:rsidR="00E57B0F" w:rsidRDefault="00000000">
      <w:pPr>
        <w:spacing w:before="240" w:after="240" w:line="480" w:lineRule="auto"/>
        <w:rPr>
          <w:color w:val="1F1F1F"/>
          <w:sz w:val="24"/>
          <w:szCs w:val="24"/>
        </w:rPr>
      </w:pPr>
      <w:r>
        <w:rPr>
          <w:color w:val="1F1F1F"/>
          <w:sz w:val="24"/>
          <w:szCs w:val="24"/>
        </w:rPr>
        <w:t xml:space="preserve">Gadani, N. N. (2024) Security Challenges in Cloud-Based Software Development: A DevSecOps Perspective. </w:t>
      </w:r>
      <w:r>
        <w:rPr>
          <w:i/>
          <w:iCs/>
          <w:color w:val="1F1F1F"/>
          <w:sz w:val="24"/>
          <w:szCs w:val="24"/>
        </w:rPr>
        <w:t>Journal of Scientific and Engineering Research</w:t>
      </w:r>
      <w:r>
        <w:rPr>
          <w:color w:val="1F1F1F"/>
          <w:sz w:val="24"/>
          <w:szCs w:val="24"/>
        </w:rPr>
        <w:t>, 11(5): 287-294.</w:t>
      </w:r>
    </w:p>
    <w:p w14:paraId="00000062" w14:textId="77777777" w:rsidR="00E57B0F" w:rsidRDefault="00000000">
      <w:pPr>
        <w:spacing w:before="240" w:after="240" w:line="480" w:lineRule="auto"/>
        <w:rPr>
          <w:color w:val="1F1F1F"/>
          <w:sz w:val="24"/>
          <w:szCs w:val="24"/>
        </w:rPr>
      </w:pPr>
      <w:r>
        <w:rPr>
          <w:color w:val="1F1F1F"/>
          <w:sz w:val="24"/>
          <w:szCs w:val="24"/>
        </w:rPr>
        <w:t xml:space="preserve">Gray, G. (2014) </w:t>
      </w:r>
      <w:r>
        <w:rPr>
          <w:i/>
          <w:iCs/>
          <w:color w:val="1F1F1F"/>
          <w:sz w:val="24"/>
          <w:szCs w:val="24"/>
        </w:rPr>
        <w:t>Trust in Research: The Ethics of Knowledge Production</w:t>
      </w:r>
      <w:r>
        <w:rPr>
          <w:color w:val="1F1F1F"/>
          <w:sz w:val="24"/>
          <w:szCs w:val="24"/>
        </w:rPr>
        <w:t>. [Video].</w:t>
      </w:r>
    </w:p>
    <w:p w14:paraId="00000063" w14:textId="77777777" w:rsidR="00E57B0F" w:rsidRDefault="00000000">
      <w:pPr>
        <w:spacing w:before="240" w:after="240" w:line="480" w:lineRule="auto"/>
        <w:rPr>
          <w:color w:val="1F1F1F"/>
          <w:sz w:val="24"/>
          <w:szCs w:val="24"/>
        </w:rPr>
      </w:pPr>
      <w:r>
        <w:rPr>
          <w:color w:val="1F1F1F"/>
          <w:sz w:val="24"/>
          <w:szCs w:val="24"/>
        </w:rPr>
        <w:t xml:space="preserve">Gudepu, B. K. &amp; Jaladi, D. S. (2021) GDPR Compliance Challenges and How to Overcome Them. </w:t>
      </w:r>
      <w:r>
        <w:rPr>
          <w:i/>
          <w:iCs/>
          <w:color w:val="1F1F1F"/>
          <w:sz w:val="24"/>
          <w:szCs w:val="24"/>
        </w:rPr>
        <w:t>International Journal of Modern Computing</w:t>
      </w:r>
      <w:r>
        <w:rPr>
          <w:color w:val="1F1F1F"/>
          <w:sz w:val="24"/>
          <w:szCs w:val="24"/>
        </w:rPr>
        <w:t>.</w:t>
      </w:r>
    </w:p>
    <w:p w14:paraId="00000064" w14:textId="77777777" w:rsidR="00E57B0F" w:rsidRDefault="00000000">
      <w:pPr>
        <w:spacing w:before="240" w:after="240" w:line="480" w:lineRule="auto"/>
        <w:rPr>
          <w:color w:val="1F1F1F"/>
          <w:sz w:val="24"/>
          <w:szCs w:val="24"/>
        </w:rPr>
      </w:pPr>
      <w:r>
        <w:rPr>
          <w:color w:val="1F1F1F"/>
          <w:sz w:val="24"/>
          <w:szCs w:val="24"/>
        </w:rPr>
        <w:t xml:space="preserve">Hayes, R., Kyer, B. &amp; Weber, E. (2015) </w:t>
      </w:r>
      <w:r>
        <w:rPr>
          <w:i/>
          <w:iCs/>
          <w:color w:val="1F1F1F"/>
          <w:sz w:val="24"/>
          <w:szCs w:val="24"/>
        </w:rPr>
        <w:t>The Case Study Cookbook</w:t>
      </w:r>
      <w:r>
        <w:rPr>
          <w:color w:val="1F1F1F"/>
          <w:sz w:val="24"/>
          <w:szCs w:val="24"/>
        </w:rPr>
        <w:t>. Worcester Polytechnic Institute.</w:t>
      </w:r>
    </w:p>
    <w:p w14:paraId="00000065" w14:textId="77777777" w:rsidR="00E57B0F" w:rsidRDefault="00000000">
      <w:pPr>
        <w:spacing w:before="240" w:after="240" w:line="480" w:lineRule="auto"/>
        <w:rPr>
          <w:color w:val="1F1F1F"/>
          <w:sz w:val="24"/>
          <w:szCs w:val="24"/>
        </w:rPr>
      </w:pPr>
      <w:r>
        <w:rPr>
          <w:color w:val="1F1F1F"/>
          <w:sz w:val="24"/>
          <w:szCs w:val="24"/>
        </w:rPr>
        <w:t xml:space="preserve">IBM. (N.D.) </w:t>
      </w:r>
      <w:r>
        <w:rPr>
          <w:i/>
          <w:iCs/>
          <w:color w:val="1F1F1F"/>
          <w:sz w:val="24"/>
          <w:szCs w:val="24"/>
        </w:rPr>
        <w:t>IBM’s Principles for Trust and Transparency</w:t>
      </w:r>
      <w:r>
        <w:rPr>
          <w:color w:val="1F1F1F"/>
          <w:sz w:val="24"/>
          <w:szCs w:val="24"/>
        </w:rPr>
        <w:t>. [Document].</w:t>
      </w:r>
    </w:p>
    <w:p w14:paraId="00000066" w14:textId="77777777" w:rsidR="00E57B0F" w:rsidRDefault="00000000">
      <w:pPr>
        <w:spacing w:before="240" w:after="240" w:line="480" w:lineRule="auto"/>
        <w:rPr>
          <w:color w:val="1F1F1F"/>
          <w:sz w:val="24"/>
          <w:szCs w:val="24"/>
        </w:rPr>
      </w:pPr>
      <w:r>
        <w:rPr>
          <w:color w:val="1F1F1F"/>
          <w:sz w:val="24"/>
          <w:szCs w:val="24"/>
        </w:rPr>
        <w:br/>
        <w:t xml:space="preserve">IDC. (2024) </w:t>
      </w:r>
      <w:r>
        <w:rPr>
          <w:i/>
          <w:iCs/>
          <w:color w:val="1F1F1F"/>
          <w:sz w:val="24"/>
          <w:szCs w:val="24"/>
        </w:rPr>
        <w:t>Worldwide Spending on Public Cloud Services is Forecast to Double Between 2024 and 2028</w:t>
      </w:r>
      <w:r>
        <w:rPr>
          <w:color w:val="1F1F1F"/>
          <w:sz w:val="24"/>
          <w:szCs w:val="24"/>
        </w:rPr>
        <w:t>. [Report]. Needham: International Data Corporation.</w:t>
      </w:r>
    </w:p>
    <w:p w14:paraId="00000067" w14:textId="77777777" w:rsidR="00E57B0F" w:rsidRDefault="00000000">
      <w:pPr>
        <w:spacing w:before="240" w:after="240" w:line="480" w:lineRule="auto"/>
        <w:rPr>
          <w:color w:val="1F1F1F"/>
          <w:sz w:val="24"/>
          <w:szCs w:val="24"/>
        </w:rPr>
      </w:pPr>
      <w:r>
        <w:rPr>
          <w:color w:val="1F1F1F"/>
          <w:sz w:val="24"/>
          <w:szCs w:val="24"/>
        </w:rPr>
        <w:t xml:space="preserve">Kaplan, B. &amp; Maxwell, J. A. (2005) 'Qualitative Research Methods for Evaluating Computer Information Systems', in: Anderson, J. G. &amp; Aydin, C. E. (eds) </w:t>
      </w:r>
      <w:r>
        <w:rPr>
          <w:i/>
          <w:iCs/>
          <w:color w:val="1F1F1F"/>
          <w:sz w:val="24"/>
          <w:szCs w:val="24"/>
        </w:rPr>
        <w:t xml:space="preserve">Evaluating the </w:t>
      </w:r>
      <w:r>
        <w:rPr>
          <w:i/>
          <w:iCs/>
          <w:color w:val="1F1F1F"/>
          <w:sz w:val="24"/>
          <w:szCs w:val="24"/>
        </w:rPr>
        <w:lastRenderedPageBreak/>
        <w:t>Organizational Impact of Healthcare Information Systems</w:t>
      </w:r>
      <w:r>
        <w:rPr>
          <w:color w:val="1F1F1F"/>
          <w:sz w:val="24"/>
          <w:szCs w:val="24"/>
        </w:rPr>
        <w:t>. Springer.</w:t>
      </w:r>
    </w:p>
    <w:p w14:paraId="00000068" w14:textId="77777777" w:rsidR="00E57B0F" w:rsidRDefault="00000000">
      <w:pPr>
        <w:spacing w:before="240" w:after="240" w:line="480" w:lineRule="auto"/>
        <w:rPr>
          <w:color w:val="1F1F1F"/>
          <w:sz w:val="24"/>
          <w:szCs w:val="24"/>
        </w:rPr>
      </w:pPr>
      <w:r>
        <w:rPr>
          <w:color w:val="1F1F1F"/>
          <w:sz w:val="24"/>
          <w:szCs w:val="24"/>
        </w:rPr>
        <w:t xml:space="preserve">Kluge Corrêa, N. et al. (2023) Worldwide AI ethics: A review of 200 guidelines and recommendations for AI governance. </w:t>
      </w:r>
      <w:r>
        <w:rPr>
          <w:i/>
          <w:iCs/>
          <w:color w:val="1F1F1F"/>
          <w:sz w:val="24"/>
          <w:szCs w:val="24"/>
        </w:rPr>
        <w:t>Patterns</w:t>
      </w:r>
      <w:r>
        <w:rPr>
          <w:color w:val="1F1F1F"/>
          <w:sz w:val="24"/>
          <w:szCs w:val="24"/>
        </w:rPr>
        <w:t>.</w:t>
      </w:r>
    </w:p>
    <w:p w14:paraId="00000069" w14:textId="77777777" w:rsidR="00E57B0F" w:rsidRDefault="00000000">
      <w:pPr>
        <w:spacing w:before="240" w:after="240" w:line="480" w:lineRule="auto"/>
        <w:rPr>
          <w:color w:val="1F1F1F"/>
          <w:sz w:val="24"/>
          <w:szCs w:val="24"/>
        </w:rPr>
      </w:pPr>
      <w:r>
        <w:rPr>
          <w:color w:val="1F1F1F"/>
          <w:sz w:val="24"/>
          <w:szCs w:val="24"/>
        </w:rPr>
        <w:t xml:space="preserve">MDPI. (2025) Evolution of DevSecOps and Its Influence on Application Security: A Systematic Literature Review. </w:t>
      </w:r>
      <w:r>
        <w:rPr>
          <w:i/>
          <w:iCs/>
          <w:color w:val="1F1F1F"/>
          <w:sz w:val="24"/>
          <w:szCs w:val="24"/>
        </w:rPr>
        <w:t>Software</w:t>
      </w:r>
      <w:r>
        <w:rPr>
          <w:color w:val="1F1F1F"/>
          <w:sz w:val="24"/>
          <w:szCs w:val="24"/>
        </w:rPr>
        <w:t>, 13(12): 548.</w:t>
      </w:r>
    </w:p>
    <w:p w14:paraId="0000006A" w14:textId="77777777" w:rsidR="00E57B0F" w:rsidRDefault="00000000">
      <w:pPr>
        <w:spacing w:before="240" w:after="240" w:line="480" w:lineRule="auto"/>
        <w:rPr>
          <w:color w:val="1F1F1F"/>
          <w:sz w:val="24"/>
          <w:szCs w:val="24"/>
        </w:rPr>
      </w:pPr>
      <w:r>
        <w:rPr>
          <w:color w:val="1F1F1F"/>
          <w:sz w:val="24"/>
          <w:szCs w:val="24"/>
        </w:rPr>
        <w:t xml:space="preserve">Miller, T. &amp; Mauthner, M. L. (2012) </w:t>
      </w:r>
      <w:r>
        <w:rPr>
          <w:i/>
          <w:iCs/>
          <w:color w:val="1F1F1F"/>
          <w:sz w:val="24"/>
          <w:szCs w:val="24"/>
        </w:rPr>
        <w:t>Ethics in Qualitative Research</w:t>
      </w:r>
      <w:r>
        <w:rPr>
          <w:color w:val="1F1F1F"/>
          <w:sz w:val="24"/>
          <w:szCs w:val="24"/>
        </w:rPr>
        <w:t>. SAGE Publications.</w:t>
      </w:r>
    </w:p>
    <w:p w14:paraId="0000006B" w14:textId="77777777" w:rsidR="00E57B0F" w:rsidRDefault="00000000">
      <w:pPr>
        <w:spacing w:before="240" w:after="240" w:line="480" w:lineRule="auto"/>
        <w:rPr>
          <w:color w:val="1F1F1F"/>
          <w:sz w:val="24"/>
          <w:szCs w:val="24"/>
        </w:rPr>
      </w:pPr>
      <w:r>
        <w:rPr>
          <w:color w:val="1F1F1F"/>
          <w:sz w:val="24"/>
          <w:szCs w:val="24"/>
        </w:rPr>
        <w:t xml:space="preserve">Mircea, E. (2019) Project Management using Agile Frameworks. </w:t>
      </w:r>
      <w:r>
        <w:rPr>
          <w:i/>
          <w:iCs/>
          <w:color w:val="1F1F1F"/>
          <w:sz w:val="24"/>
          <w:szCs w:val="24"/>
        </w:rPr>
        <w:t>Economy Informatics</w:t>
      </w:r>
      <w:r>
        <w:rPr>
          <w:color w:val="1F1F1F"/>
          <w:sz w:val="24"/>
          <w:szCs w:val="24"/>
        </w:rPr>
        <w:t>.</w:t>
      </w:r>
    </w:p>
    <w:p w14:paraId="0000006C" w14:textId="77777777" w:rsidR="00E57B0F" w:rsidRDefault="00000000">
      <w:pPr>
        <w:spacing w:before="240" w:after="240" w:line="480" w:lineRule="auto"/>
        <w:rPr>
          <w:color w:val="1F1F1F"/>
          <w:sz w:val="24"/>
          <w:szCs w:val="24"/>
        </w:rPr>
      </w:pPr>
      <w:r>
        <w:rPr>
          <w:color w:val="1F1F1F"/>
          <w:sz w:val="24"/>
          <w:szCs w:val="24"/>
        </w:rPr>
        <w:t>Neelan, A. (2025) 'The Evolving Role of API Gateways in Scalable Microservices Architecture', International Journal of Emerging Trends in Computer Science &amp; Information Technology, 6(4): 4-15.</w:t>
      </w:r>
    </w:p>
    <w:p w14:paraId="0000006D" w14:textId="77777777" w:rsidR="00E57B0F" w:rsidRDefault="00000000">
      <w:pPr>
        <w:spacing w:before="240" w:after="240" w:line="480" w:lineRule="auto"/>
        <w:rPr>
          <w:color w:val="1F1F1F"/>
          <w:sz w:val="24"/>
          <w:szCs w:val="24"/>
        </w:rPr>
      </w:pPr>
      <w:r>
        <w:rPr>
          <w:color w:val="1F1F1F"/>
          <w:sz w:val="24"/>
          <w:szCs w:val="24"/>
        </w:rPr>
        <w:t xml:space="preserve">Nicholas, J. M. &amp; Steyn, H. (2020) </w:t>
      </w:r>
      <w:r>
        <w:rPr>
          <w:i/>
          <w:iCs/>
          <w:color w:val="1F1F1F"/>
          <w:sz w:val="24"/>
          <w:szCs w:val="24"/>
        </w:rPr>
        <w:t>Project management for engineering, business and technology</w:t>
      </w:r>
      <w:r>
        <w:rPr>
          <w:color w:val="1F1F1F"/>
          <w:sz w:val="24"/>
          <w:szCs w:val="24"/>
        </w:rPr>
        <w:t>. London: Routledge.</w:t>
      </w:r>
    </w:p>
    <w:p w14:paraId="0000006E" w14:textId="77777777" w:rsidR="00E57B0F" w:rsidRDefault="00000000">
      <w:pPr>
        <w:spacing w:before="240" w:after="240" w:line="480" w:lineRule="auto"/>
        <w:rPr>
          <w:color w:val="1F1F1F"/>
          <w:sz w:val="24"/>
          <w:szCs w:val="24"/>
        </w:rPr>
      </w:pPr>
      <w:r>
        <w:rPr>
          <w:color w:val="1F1F1F"/>
          <w:sz w:val="24"/>
          <w:szCs w:val="24"/>
        </w:rPr>
        <w:t xml:space="preserve">Priya, A. (2021) Case Study Methodology of Qualitative Research: Key Attributes and Navigating the Conundrums in Its Application. </w:t>
      </w:r>
      <w:r>
        <w:rPr>
          <w:i/>
          <w:iCs/>
          <w:color w:val="1F1F1F"/>
          <w:sz w:val="24"/>
          <w:szCs w:val="24"/>
        </w:rPr>
        <w:t>Sociological Bulletin</w:t>
      </w:r>
      <w:r>
        <w:rPr>
          <w:color w:val="1F1F1F"/>
          <w:sz w:val="24"/>
          <w:szCs w:val="24"/>
        </w:rPr>
        <w:t>.</w:t>
      </w:r>
    </w:p>
    <w:p w14:paraId="0000006F" w14:textId="77777777" w:rsidR="00E57B0F" w:rsidRDefault="00000000">
      <w:pPr>
        <w:spacing w:before="240" w:after="240" w:line="480" w:lineRule="auto"/>
        <w:rPr>
          <w:color w:val="1F1F1F"/>
          <w:sz w:val="24"/>
          <w:szCs w:val="24"/>
        </w:rPr>
      </w:pPr>
      <w:r>
        <w:rPr>
          <w:color w:val="1F1F1F"/>
          <w:sz w:val="24"/>
          <w:szCs w:val="24"/>
        </w:rPr>
        <w:t xml:space="preserve">Qazi, F. A. (2023) Application Programming Interface (API) Security in Cloud Applications. </w:t>
      </w:r>
      <w:r>
        <w:rPr>
          <w:i/>
          <w:iCs/>
          <w:color w:val="1F1F1F"/>
          <w:sz w:val="24"/>
          <w:szCs w:val="24"/>
        </w:rPr>
        <w:t>EAI Endorsed Transactions on Cloud Systems</w:t>
      </w:r>
      <w:r>
        <w:rPr>
          <w:color w:val="1F1F1F"/>
          <w:sz w:val="24"/>
          <w:szCs w:val="24"/>
        </w:rPr>
        <w:t>.</w:t>
      </w:r>
    </w:p>
    <w:p w14:paraId="00000070" w14:textId="77777777" w:rsidR="00E57B0F" w:rsidRDefault="00000000">
      <w:pPr>
        <w:spacing w:before="240" w:after="240" w:line="480" w:lineRule="auto"/>
        <w:rPr>
          <w:color w:val="1F1F1F"/>
          <w:sz w:val="24"/>
          <w:szCs w:val="24"/>
        </w:rPr>
      </w:pPr>
      <w:r>
        <w:rPr>
          <w:color w:val="1F1F1F"/>
          <w:sz w:val="24"/>
          <w:szCs w:val="24"/>
        </w:rPr>
        <w:t xml:space="preserve">Saunders, M. N. K., Lewis, P. &amp; Thornhill, A. (2019) </w:t>
      </w:r>
      <w:r>
        <w:rPr>
          <w:i/>
          <w:iCs/>
          <w:color w:val="1F1F1F"/>
          <w:sz w:val="24"/>
          <w:szCs w:val="24"/>
        </w:rPr>
        <w:t>Research methods for business students</w:t>
      </w:r>
      <w:r>
        <w:rPr>
          <w:color w:val="1F1F1F"/>
          <w:sz w:val="24"/>
          <w:szCs w:val="24"/>
        </w:rPr>
        <w:t>. 8th ed. Harlow: Pearson.</w:t>
      </w:r>
    </w:p>
    <w:p w14:paraId="00000071" w14:textId="77777777" w:rsidR="00E57B0F" w:rsidRDefault="00000000">
      <w:pPr>
        <w:spacing w:before="240" w:after="240" w:line="480" w:lineRule="auto"/>
        <w:rPr>
          <w:color w:val="1F1F1F"/>
          <w:sz w:val="24"/>
          <w:szCs w:val="24"/>
        </w:rPr>
      </w:pPr>
      <w:r>
        <w:rPr>
          <w:color w:val="1F1F1F"/>
          <w:sz w:val="24"/>
          <w:szCs w:val="24"/>
        </w:rPr>
        <w:t xml:space="preserve">SentinelOne. (2025) </w:t>
      </w:r>
      <w:r>
        <w:rPr>
          <w:i/>
          <w:iCs/>
          <w:color w:val="1F1F1F"/>
          <w:sz w:val="24"/>
          <w:szCs w:val="24"/>
        </w:rPr>
        <w:t>17 Security Risks of Cloud Computing in 2025</w:t>
      </w:r>
      <w:r>
        <w:rPr>
          <w:color w:val="1F1F1F"/>
          <w:sz w:val="24"/>
          <w:szCs w:val="24"/>
        </w:rPr>
        <w:t xml:space="preserve">. [Webpage]. </w:t>
      </w:r>
      <w:r>
        <w:rPr>
          <w:color w:val="1F1F1F"/>
          <w:sz w:val="24"/>
          <w:szCs w:val="24"/>
        </w:rPr>
        <w:lastRenderedPageBreak/>
        <w:t>Available from:</w:t>
      </w:r>
      <w:hyperlink r:id="rId18">
        <w:r>
          <w:rPr>
            <w:color w:val="1F1F1F"/>
            <w:sz w:val="24"/>
            <w:szCs w:val="24"/>
          </w:rPr>
          <w:t xml:space="preserve"> </w:t>
        </w:r>
      </w:hyperlink>
      <w:hyperlink r:id="rId19">
        <w:r>
          <w:rPr>
            <w:color w:val="1155CC"/>
            <w:sz w:val="24"/>
            <w:szCs w:val="24"/>
            <w:u w:val="single"/>
          </w:rPr>
          <w:t>https://www.sentinelone.com</w:t>
        </w:r>
      </w:hyperlink>
      <w:r>
        <w:rPr>
          <w:color w:val="1F1F1F"/>
          <w:sz w:val="24"/>
          <w:szCs w:val="24"/>
        </w:rPr>
        <w:t xml:space="preserve"> [Accessed 8 December 2025].</w:t>
      </w:r>
    </w:p>
    <w:p w14:paraId="00000072" w14:textId="77777777" w:rsidR="00E57B0F" w:rsidRDefault="00000000">
      <w:pPr>
        <w:spacing w:before="240" w:after="240" w:line="480" w:lineRule="auto"/>
        <w:rPr>
          <w:color w:val="1F1F1F"/>
          <w:sz w:val="24"/>
          <w:szCs w:val="24"/>
        </w:rPr>
      </w:pPr>
      <w:r>
        <w:rPr>
          <w:color w:val="1F1F1F"/>
          <w:sz w:val="24"/>
          <w:szCs w:val="24"/>
        </w:rPr>
        <w:t xml:space="preserve">Sim, J. &amp; Waterfield, J. (2019) Focus Group Methodology: Some Ethical Challenges. </w:t>
      </w:r>
      <w:r>
        <w:rPr>
          <w:i/>
          <w:iCs/>
          <w:color w:val="1F1F1F"/>
          <w:sz w:val="24"/>
          <w:szCs w:val="24"/>
        </w:rPr>
        <w:t>Quality &amp; Quantity</w:t>
      </w:r>
      <w:r>
        <w:rPr>
          <w:color w:val="1F1F1F"/>
          <w:sz w:val="24"/>
          <w:szCs w:val="24"/>
        </w:rPr>
        <w:t>.</w:t>
      </w:r>
    </w:p>
    <w:p w14:paraId="00000073" w14:textId="77777777" w:rsidR="00E57B0F" w:rsidRDefault="00000000">
      <w:pPr>
        <w:spacing w:before="240" w:after="240" w:line="480" w:lineRule="auto"/>
        <w:rPr>
          <w:color w:val="1F1F1F"/>
          <w:sz w:val="24"/>
          <w:szCs w:val="24"/>
        </w:rPr>
      </w:pPr>
      <w:r>
        <w:rPr>
          <w:color w:val="1F1F1F"/>
          <w:sz w:val="24"/>
          <w:szCs w:val="24"/>
        </w:rPr>
        <w:t>Traceable AI (2025) 2025 Global State of API Security [Report]. Available from: https://www.traceable.ai [Accessed 12 December 2025].</w:t>
      </w:r>
    </w:p>
    <w:p w14:paraId="00000074" w14:textId="77777777" w:rsidR="00E57B0F" w:rsidRDefault="00000000">
      <w:pPr>
        <w:spacing w:before="240" w:after="240" w:line="480" w:lineRule="auto"/>
        <w:rPr>
          <w:color w:val="1F1F1F"/>
          <w:sz w:val="24"/>
          <w:szCs w:val="24"/>
        </w:rPr>
      </w:pPr>
      <w:r>
        <w:rPr>
          <w:color w:val="1F1F1F"/>
          <w:sz w:val="24"/>
          <w:szCs w:val="24"/>
        </w:rPr>
        <w:t xml:space="preserve">Verma, S. (2025) Zero Trust Architecture in Cloud-Native Environments: Implementation Strategies &amp; Best Practices. </w:t>
      </w:r>
      <w:r>
        <w:rPr>
          <w:i/>
          <w:iCs/>
          <w:color w:val="1F1F1F"/>
          <w:sz w:val="24"/>
          <w:szCs w:val="24"/>
        </w:rPr>
        <w:t>International Journal of Computer Trends and Technology</w:t>
      </w:r>
      <w:r>
        <w:rPr>
          <w:color w:val="1F1F1F"/>
          <w:sz w:val="24"/>
          <w:szCs w:val="24"/>
        </w:rPr>
        <w:t>, 73(4): 102-107.</w:t>
      </w:r>
    </w:p>
    <w:p w14:paraId="00000075" w14:textId="77777777" w:rsidR="00E57B0F" w:rsidRDefault="00000000">
      <w:pPr>
        <w:spacing w:before="240" w:after="240" w:line="480" w:lineRule="auto"/>
        <w:rPr>
          <w:color w:val="1F1F1F"/>
          <w:sz w:val="24"/>
          <w:szCs w:val="24"/>
        </w:rPr>
      </w:pPr>
      <w:r>
        <w:rPr>
          <w:color w:val="1F1F1F"/>
          <w:sz w:val="24"/>
          <w:szCs w:val="24"/>
        </w:rPr>
        <w:t xml:space="preserve">Wohlin, C. (2021) Case Study Research in Software Engineering—It is a Case, and it is a Study, but is it a Case Study? </w:t>
      </w:r>
      <w:r>
        <w:rPr>
          <w:i/>
          <w:iCs/>
          <w:color w:val="1F1F1F"/>
          <w:sz w:val="24"/>
          <w:szCs w:val="24"/>
        </w:rPr>
        <w:t>Information and Software Technology</w:t>
      </w:r>
      <w:r>
        <w:rPr>
          <w:color w:val="1F1F1F"/>
          <w:sz w:val="24"/>
          <w:szCs w:val="24"/>
        </w:rPr>
        <w:t>.</w:t>
      </w:r>
    </w:p>
    <w:p w14:paraId="00000076" w14:textId="77777777" w:rsidR="00E57B0F" w:rsidRDefault="00E57B0F">
      <w:pPr>
        <w:pBdr>
          <w:top w:val="nil"/>
          <w:left w:val="nil"/>
          <w:bottom w:val="nil"/>
          <w:right w:val="nil"/>
          <w:between w:val="nil"/>
        </w:pBdr>
        <w:spacing w:after="240" w:line="480" w:lineRule="auto"/>
        <w:rPr>
          <w:color w:val="1F1F1F"/>
          <w:sz w:val="24"/>
          <w:szCs w:val="24"/>
        </w:rPr>
      </w:pPr>
    </w:p>
    <w:sectPr w:rsidR="00E57B0F">
      <w:headerReference w:type="default" r:id="rId2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6289A" w14:textId="77777777" w:rsidR="004C00CC" w:rsidRDefault="004C00CC">
      <w:r>
        <w:separator/>
      </w:r>
    </w:p>
  </w:endnote>
  <w:endnote w:type="continuationSeparator" w:id="0">
    <w:p w14:paraId="54D01FD8" w14:textId="77777777" w:rsidR="004C00CC" w:rsidRDefault="004C0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75F86877-B893-914E-82E1-B899FB2E4F33}"/>
    <w:embedBold r:id="rId2" w:fontKey="{CAACC93E-6F18-C541-92B3-8C7B953286BA}"/>
    <w:embedItalic r:id="rId3" w:fontKey="{7CA29D6B-3352-9443-8647-1D73E241B6DA}"/>
  </w:font>
  <w:font w:name="Times New Roman">
    <w:panose1 w:val="02020603050405020304"/>
    <w:charset w:val="00"/>
    <w:family w:val="roman"/>
    <w:pitch w:val="variable"/>
    <w:sig w:usb0="E0007EFF" w:usb1="C000785B" w:usb2="00000009" w:usb3="00000000" w:csb0="000001FF" w:csb1="00000000"/>
    <w:embedRegular r:id="rId4" w:fontKey="{D5E5D4A9-1281-9D43-B33A-2E04FFBB2214}"/>
  </w:font>
  <w:font w:name="Georgia">
    <w:panose1 w:val="02040502050405020303"/>
    <w:charset w:val="00"/>
    <w:family w:val="roman"/>
    <w:pitch w:val="variable"/>
    <w:sig w:usb0="00000287" w:usb1="00000000" w:usb2="00000000" w:usb3="00000000" w:csb0="0000009F" w:csb1="00000000"/>
    <w:embedItalic r:id="rId5" w:fontKey="{CAD10BE6-8C3F-7947-8C10-639101BAC7FF}"/>
  </w:font>
  <w:font w:name="Calibri">
    <w:panose1 w:val="020F0502020204030204"/>
    <w:charset w:val="00"/>
    <w:family w:val="swiss"/>
    <w:pitch w:val="variable"/>
    <w:sig w:usb0="E0002AFF" w:usb1="C000247B" w:usb2="00000009" w:usb3="00000000" w:csb0="000001FF" w:csb1="00000000"/>
    <w:embedRegular r:id="rId6" w:fontKey="{C8AA55C4-D6DB-0F4F-9D0A-B4D553F713EE}"/>
  </w:font>
  <w:font w:name="Cambria">
    <w:panose1 w:val="02040503050406030204"/>
    <w:charset w:val="00"/>
    <w:family w:val="roman"/>
    <w:pitch w:val="variable"/>
    <w:sig w:usb0="E00002FF" w:usb1="400004FF" w:usb2="00000000" w:usb3="00000000" w:csb0="0000019F" w:csb1="00000000"/>
    <w:embedRegular r:id="rId7" w:fontKey="{419F1737-2CE5-D845-9A37-1DAF0C3ADAE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4651B" w14:textId="77777777" w:rsidR="004C00CC" w:rsidRDefault="004C00CC">
      <w:r>
        <w:separator/>
      </w:r>
    </w:p>
  </w:footnote>
  <w:footnote w:type="continuationSeparator" w:id="0">
    <w:p w14:paraId="5456FB3D" w14:textId="77777777" w:rsidR="004C00CC" w:rsidRDefault="004C00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7" w14:textId="77777777" w:rsidR="00E57B0F" w:rsidRDefault="00E57B0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B0F"/>
    <w:rsid w:val="004C00CC"/>
    <w:rsid w:val="006C28E7"/>
    <w:rsid w:val="00B33B7C"/>
    <w:rsid w:val="00E57B0F"/>
  </w:rsids>
  <m:mathPr>
    <m:mathFont m:val="Cambria Math"/>
    <m:brkBin m:val="before"/>
    <m:brkBinSub m:val="--"/>
    <m:smallFrac m:val="0"/>
    <m:dispDef/>
    <m:lMargin m:val="0"/>
    <m:rMargin m:val="0"/>
    <m:defJc m:val="centerGroup"/>
    <m:wrapIndent m:val="1440"/>
    <m:intLim m:val="subSup"/>
    <m:naryLim m:val="undOvr"/>
  </m:mathPr>
  <w:themeFontLang w:val="en-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2D0C2"/>
  <w15:docId w15:val="{150CB64C-480E-8D4E-A62B-D64DB8C3A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AR"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spacing w:before="240" w:after="240" w:line="480" w:lineRule="auto"/>
      <w:outlineLvl w:val="2"/>
    </w:pPr>
    <w:rPr>
      <w:b/>
      <w:bCs/>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heckpoint.com" TargetMode="External"/><Relationship Id="rId13" Type="http://schemas.openxmlformats.org/officeDocument/2006/relationships/hyperlink" Target="https://cloudsecurityalliance.org" TargetMode="External"/><Relationship Id="rId18" Type="http://schemas.openxmlformats.org/officeDocument/2006/relationships/hyperlink" Target="https://www.sentinelone.com"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google.com/search?q=https://mysecuritymarketplace.com/reports" TargetMode="External"/><Relationship Id="rId12" Type="http://schemas.openxmlformats.org/officeDocument/2006/relationships/hyperlink" Target="https://cloudsecurityalliance.org" TargetMode="External"/><Relationship Id="rId17" Type="http://schemas.openxmlformats.org/officeDocument/2006/relationships/hyperlink" Target="https://www.gartner.com" TargetMode="External"/><Relationship Id="rId2" Type="http://schemas.openxmlformats.org/officeDocument/2006/relationships/settings" Target="settings.xml"/><Relationship Id="rId16" Type="http://schemas.openxmlformats.org/officeDocument/2006/relationships/hyperlink" Target="https://www.gartner.com"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www.google.com/search?q=https://mysecuritymarketplace.com/reports" TargetMode="External"/><Relationship Id="rId11" Type="http://schemas.openxmlformats.org/officeDocument/2006/relationships/hyperlink" Target="https://www.youtube.com" TargetMode="External"/><Relationship Id="rId5" Type="http://schemas.openxmlformats.org/officeDocument/2006/relationships/endnotes" Target="endnotes.xml"/><Relationship Id="rId15" Type="http://schemas.openxmlformats.org/officeDocument/2006/relationships/hyperlink" Target="https://cyble.com" TargetMode="External"/><Relationship Id="rId10" Type="http://schemas.openxmlformats.org/officeDocument/2006/relationships/hyperlink" Target="https://www.youtube.com" TargetMode="External"/><Relationship Id="rId19" Type="http://schemas.openxmlformats.org/officeDocument/2006/relationships/hyperlink" Target="https://www.sentinelone.com" TargetMode="External"/><Relationship Id="rId4" Type="http://schemas.openxmlformats.org/officeDocument/2006/relationships/footnotes" Target="footnotes.xml"/><Relationship Id="rId9" Type="http://schemas.openxmlformats.org/officeDocument/2006/relationships/hyperlink" Target="https://www.checkpoint.com" TargetMode="External"/><Relationship Id="rId14" Type="http://schemas.openxmlformats.org/officeDocument/2006/relationships/hyperlink" Target="https://cyble.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2751</Words>
  <Characters>18985</Characters>
  <Application>Microsoft Office Word</Application>
  <DocSecurity>0</DocSecurity>
  <Lines>283</Lines>
  <Paragraphs>130</Paragraphs>
  <ScaleCrop>false</ScaleCrop>
  <Company/>
  <LinksUpToDate>false</LinksUpToDate>
  <CharactersWithSpaces>21606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Fabian</cp:lastModifiedBy>
  <cp:revision>2</cp:revision>
  <dcterms:created xsi:type="dcterms:W3CDTF">2025-12-08T19:52:00Z</dcterms:created>
  <dcterms:modified xsi:type="dcterms:W3CDTF">2025-12-08T19:52:00Z</dcterms:modified>
</cp:coreProperties>
</file>